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2982F" w14:textId="0B452C4C" w:rsidR="005822CE" w:rsidRDefault="005822CE" w:rsidP="005822CE">
      <w:pPr>
        <w:autoSpaceDE w:val="0"/>
        <w:autoSpaceDN w:val="0"/>
        <w:adjustRightInd w:val="0"/>
        <w:spacing w:after="0" w:line="240" w:lineRule="auto"/>
        <w:rPr>
          <w:rFonts w:ascii="Times New Roman" w:hAnsi="Times New Roman" w:cs="Times New Roman"/>
          <w:i/>
          <w:iCs/>
          <w:color w:val="000000"/>
          <w:sz w:val="20"/>
          <w:szCs w:val="20"/>
        </w:rPr>
      </w:pPr>
      <w:bookmarkStart w:id="0" w:name="_Hlk188017435"/>
      <w:r>
        <w:rPr>
          <w:rFonts w:ascii="Times New Roman" w:hAnsi="Times New Roman" w:cs="Times New Roman"/>
          <w:i/>
          <w:iCs/>
          <w:color w:val="000000"/>
          <w:sz w:val="20"/>
          <w:szCs w:val="20"/>
        </w:rPr>
        <w:t>__________________________________________________________________________________________</w:t>
      </w:r>
    </w:p>
    <w:p w14:paraId="22A59D86" w14:textId="3BA9A66E" w:rsidR="005822CE" w:rsidRPr="005822CE" w:rsidRDefault="005822CE" w:rsidP="005822CE">
      <w:pPr>
        <w:autoSpaceDE w:val="0"/>
        <w:autoSpaceDN w:val="0"/>
        <w:adjustRightInd w:val="0"/>
        <w:spacing w:after="0" w:line="240" w:lineRule="auto"/>
        <w:rPr>
          <w:rFonts w:ascii="Times New Roman" w:hAnsi="Times New Roman" w:cs="Times New Roman"/>
          <w:color w:val="000000"/>
          <w:sz w:val="20"/>
          <w:szCs w:val="20"/>
        </w:rPr>
      </w:pPr>
      <w:r w:rsidRPr="005822CE">
        <w:rPr>
          <w:rFonts w:ascii="Times New Roman" w:hAnsi="Times New Roman" w:cs="Times New Roman"/>
          <w:i/>
          <w:iCs/>
          <w:color w:val="000000"/>
          <w:sz w:val="20"/>
          <w:szCs w:val="20"/>
        </w:rPr>
        <w:t xml:space="preserve">Heading </w:t>
      </w:r>
    </w:p>
    <w:p w14:paraId="5502EA3B" w14:textId="4698EB01" w:rsidR="00D00847" w:rsidRPr="00F34A29" w:rsidRDefault="005822CE" w:rsidP="005822CE">
      <w:pPr>
        <w:pStyle w:val="1"/>
        <w:jc w:val="center"/>
      </w:pPr>
      <w:r w:rsidRPr="005822CE">
        <w:rPr>
          <w:rFonts w:ascii="Times New Roman" w:eastAsiaTheme="minorHAnsi" w:hAnsi="Times New Roman" w:cs="Times New Roman"/>
          <w:b/>
          <w:bCs/>
          <w:color w:val="000000"/>
          <w:sz w:val="20"/>
          <w:szCs w:val="20"/>
        </w:rPr>
        <w:t>[Letterhead of Party A]</w:t>
      </w:r>
    </w:p>
    <w:p w14:paraId="3609ABF3" w14:textId="77777777" w:rsidR="005822CE" w:rsidRPr="005822CE" w:rsidRDefault="005822CE" w:rsidP="005822C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color w:val="000000"/>
          <w:sz w:val="20"/>
          <w:szCs w:val="20"/>
        </w:rPr>
      </w:pPr>
      <w:r w:rsidRPr="005822CE">
        <w:rPr>
          <w:rFonts w:ascii="Times New Roman" w:hAnsi="Times New Roman" w:cs="Times New Roman"/>
          <w:color w:val="000000"/>
          <w:sz w:val="20"/>
          <w:szCs w:val="20"/>
        </w:rPr>
        <w:t>[Date]</w:t>
      </w:r>
    </w:p>
    <w:p w14:paraId="3D714767" w14:textId="3DCD0499" w:rsidR="001B113B" w:rsidRDefault="001B113B" w:rsidP="00871CAC">
      <w:pPr>
        <w:rPr>
          <w:rFonts w:ascii="Times New Roman" w:hAnsi="Times New Roman" w:cs="Times New Roman"/>
          <w:b/>
          <w:color w:val="000000"/>
          <w:sz w:val="20"/>
          <w:szCs w:val="20"/>
        </w:rPr>
      </w:pPr>
    </w:p>
    <w:p w14:paraId="3A35F570" w14:textId="31E4C235" w:rsidR="00D00847" w:rsidRPr="005822CE" w:rsidRDefault="00C32300" w:rsidP="005822CE">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Cross Currency </w:t>
      </w:r>
      <w:r w:rsidR="00012DDE">
        <w:rPr>
          <w:rFonts w:ascii="Times New Roman" w:hAnsi="Times New Roman" w:cs="Times New Roman"/>
          <w:b/>
          <w:color w:val="000000"/>
          <w:sz w:val="20"/>
          <w:szCs w:val="20"/>
        </w:rPr>
        <w:t xml:space="preserve">Floating - to Floating </w:t>
      </w:r>
      <w:r w:rsidR="00D00847" w:rsidRPr="00F34A29">
        <w:rPr>
          <w:rFonts w:ascii="Times New Roman" w:hAnsi="Times New Roman" w:cs="Times New Roman"/>
          <w:b/>
          <w:color w:val="000000"/>
          <w:sz w:val="20"/>
          <w:szCs w:val="20"/>
        </w:rPr>
        <w:t>Rate Swap Transaction</w:t>
      </w:r>
    </w:p>
    <w:p w14:paraId="219BEF86" w14:textId="540D60D0" w:rsidR="00012DDE" w:rsidRDefault="00732543" w:rsidP="005822C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color w:val="000000"/>
          <w:sz w:val="20"/>
          <w:szCs w:val="20"/>
        </w:rPr>
      </w:pP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sidRPr="00732543">
        <w:rPr>
          <w:rFonts w:ascii="Times New Roman" w:hAnsi="Times New Roman" w:cs="Times New Roman"/>
          <w:b/>
          <w:bCs/>
          <w:color w:val="000000"/>
          <w:sz w:val="20"/>
          <w:szCs w:val="20"/>
        </w:rPr>
        <w:t>Trade Ref: [xxx]</w:t>
      </w:r>
    </w:p>
    <w:p w14:paraId="0534E42F" w14:textId="77777777" w:rsidR="00732543" w:rsidRDefault="00732543" w:rsidP="005822C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color w:val="000000"/>
          <w:sz w:val="20"/>
          <w:szCs w:val="20"/>
        </w:rPr>
      </w:pPr>
    </w:p>
    <w:p w14:paraId="696C1527" w14:textId="03C46D26" w:rsidR="005822CE" w:rsidRPr="005822CE" w:rsidRDefault="005822CE" w:rsidP="005822C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color w:val="000000"/>
          <w:sz w:val="20"/>
          <w:szCs w:val="20"/>
        </w:rPr>
      </w:pPr>
      <w:r w:rsidRPr="005822CE">
        <w:rPr>
          <w:rFonts w:ascii="Times New Roman" w:hAnsi="Times New Roman" w:cs="Times New Roman"/>
          <w:b/>
          <w:bCs/>
          <w:color w:val="000000"/>
          <w:sz w:val="20"/>
          <w:szCs w:val="20"/>
        </w:rPr>
        <w:t>[Name and Address of Party B]</w:t>
      </w:r>
    </w:p>
    <w:p w14:paraId="34BC4A3B" w14:textId="05F37A2C" w:rsidR="005822CE" w:rsidRDefault="005822CE" w:rsidP="005822C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__________________________________________________________________________________________</w:t>
      </w:r>
    </w:p>
    <w:p w14:paraId="460E415B" w14:textId="77777777" w:rsidR="005822CE" w:rsidRPr="00F34A29" w:rsidRDefault="005822CE" w:rsidP="005822C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0"/>
          <w:szCs w:val="20"/>
        </w:rPr>
      </w:pPr>
      <w:r w:rsidRPr="00F34A29">
        <w:rPr>
          <w:rFonts w:ascii="Times New Roman" w:hAnsi="Times New Roman" w:cs="Times New Roman"/>
          <w:color w:val="000000"/>
          <w:sz w:val="20"/>
          <w:szCs w:val="20"/>
        </w:rPr>
        <w:t>Ladies and Gentlemen:</w:t>
      </w:r>
    </w:p>
    <w:p w14:paraId="1E51752D" w14:textId="77777777" w:rsidR="005822CE" w:rsidRDefault="005822CE" w:rsidP="005822C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0"/>
          <w:szCs w:val="20"/>
        </w:rPr>
      </w:pPr>
    </w:p>
    <w:p w14:paraId="772ABCA8" w14:textId="0832401F" w:rsidR="005822CE" w:rsidRDefault="005822CE" w:rsidP="005822C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color w:val="000000"/>
          <w:sz w:val="20"/>
          <w:szCs w:val="20"/>
        </w:rPr>
      </w:pPr>
      <w:r w:rsidRPr="005822CE">
        <w:rPr>
          <w:rFonts w:ascii="Times New Roman" w:hAnsi="Times New Roman" w:cs="Times New Roman"/>
          <w:color w:val="000000"/>
          <w:sz w:val="20"/>
          <w:szCs w:val="20"/>
        </w:rPr>
        <w:t>The purpose of this letter</w:t>
      </w:r>
      <w:r>
        <w:rPr>
          <w:rFonts w:ascii="Times New Roman" w:hAnsi="Times New Roman" w:cs="Times New Roman"/>
          <w:color w:val="000000"/>
          <w:sz w:val="20"/>
          <w:szCs w:val="20"/>
        </w:rPr>
        <w:t xml:space="preserve"> agreement</w:t>
      </w:r>
      <w:r w:rsidRPr="005822CE">
        <w:rPr>
          <w:rFonts w:ascii="Times New Roman" w:hAnsi="Times New Roman" w:cs="Times New Roman"/>
          <w:color w:val="000000"/>
          <w:sz w:val="20"/>
          <w:szCs w:val="20"/>
        </w:rPr>
        <w:t xml:space="preserve"> (this “Confirmation”) </w:t>
      </w:r>
      <w:r w:rsidR="00826B9C" w:rsidRPr="00F34A29">
        <w:rPr>
          <w:rFonts w:ascii="Times New Roman" w:hAnsi="Times New Roman" w:cs="Times New Roman"/>
          <w:color w:val="000000"/>
          <w:sz w:val="20"/>
          <w:szCs w:val="20"/>
        </w:rPr>
        <w:t xml:space="preserve">is to set forth the terms and conditions of the Transaction </w:t>
      </w:r>
      <w:proofErr w:type="gramStart"/>
      <w:r w:rsidR="00826B9C" w:rsidRPr="00F34A29">
        <w:rPr>
          <w:rFonts w:ascii="Times New Roman" w:hAnsi="Times New Roman" w:cs="Times New Roman"/>
          <w:color w:val="000000"/>
          <w:sz w:val="20"/>
          <w:szCs w:val="20"/>
        </w:rPr>
        <w:t>entered into</w:t>
      </w:r>
      <w:proofErr w:type="gramEnd"/>
      <w:r w:rsidR="00826B9C" w:rsidRPr="00F34A29">
        <w:rPr>
          <w:rFonts w:ascii="Times New Roman" w:hAnsi="Times New Roman" w:cs="Times New Roman"/>
          <w:color w:val="000000"/>
          <w:sz w:val="20"/>
          <w:szCs w:val="20"/>
        </w:rPr>
        <w:t xml:space="preserve"> between </w:t>
      </w:r>
      <w:r w:rsidR="00826B9C" w:rsidRPr="005822CE">
        <w:rPr>
          <w:rFonts w:ascii="Times New Roman" w:hAnsi="Times New Roman" w:cs="Times New Roman"/>
          <w:color w:val="000000"/>
          <w:sz w:val="20"/>
          <w:szCs w:val="20"/>
        </w:rPr>
        <w:t>[Name of Party A] (“Party A”) and [Name of Party B] (“Party B”)</w:t>
      </w:r>
      <w:r w:rsidR="00826B9C">
        <w:rPr>
          <w:rFonts w:ascii="Times New Roman" w:hAnsi="Times New Roman" w:cs="Times New Roman"/>
          <w:color w:val="000000"/>
          <w:sz w:val="20"/>
          <w:szCs w:val="20"/>
        </w:rPr>
        <w:t xml:space="preserve"> </w:t>
      </w:r>
      <w:r w:rsidR="00826B9C" w:rsidRPr="00F34A29">
        <w:rPr>
          <w:rFonts w:ascii="Times New Roman" w:hAnsi="Times New Roman" w:cs="Times New Roman"/>
          <w:color w:val="000000"/>
          <w:sz w:val="20"/>
          <w:szCs w:val="20"/>
        </w:rPr>
        <w:t xml:space="preserve">on the Trade Date specified below (the </w:t>
      </w:r>
      <w:r w:rsidR="00826B9C" w:rsidRPr="00F34A29">
        <w:rPr>
          <w:rFonts w:ascii="Times New Roman" w:hAnsi="Times New Roman" w:cs="Times New Roman"/>
          <w:b/>
          <w:color w:val="000000"/>
          <w:sz w:val="20"/>
          <w:szCs w:val="20"/>
        </w:rPr>
        <w:t>“Transaction”</w:t>
      </w:r>
      <w:r w:rsidR="00826B9C" w:rsidRPr="00F34A29">
        <w:rPr>
          <w:rFonts w:ascii="Times New Roman" w:hAnsi="Times New Roman" w:cs="Times New Roman"/>
          <w:color w:val="000000"/>
          <w:sz w:val="20"/>
          <w:szCs w:val="20"/>
        </w:rPr>
        <w:t xml:space="preserve">).  </w:t>
      </w:r>
    </w:p>
    <w:p w14:paraId="529C99FA" w14:textId="0ADD7F1B" w:rsidR="005822CE" w:rsidRPr="005822CE" w:rsidRDefault="005822CE" w:rsidP="005822CE">
      <w:pPr>
        <w:jc w:val="both"/>
        <w:rPr>
          <w:rFonts w:ascii="Times New Roman" w:hAnsi="Times New Roman" w:cs="Times New Roman"/>
          <w:sz w:val="20"/>
          <w:szCs w:val="20"/>
        </w:rPr>
      </w:pPr>
      <w:r w:rsidRPr="00F34A29">
        <w:rPr>
          <w:rFonts w:ascii="Times New Roman" w:hAnsi="Times New Roman" w:cs="Times New Roman"/>
          <w:sz w:val="20"/>
          <w:szCs w:val="20"/>
        </w:rPr>
        <w:t>This Confirmation supersedes and replaces all prior communication or confirmations between the parties with respect to the Transaction described herein.</w:t>
      </w:r>
    </w:p>
    <w:p w14:paraId="3D947F14" w14:textId="0AB0132B" w:rsidR="005822CE" w:rsidRPr="005822CE" w:rsidRDefault="005822CE" w:rsidP="005822C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Pr="005822CE">
        <w:rPr>
          <w:rFonts w:ascii="Times New Roman" w:hAnsi="Times New Roman" w:cs="Times New Roman"/>
          <w:color w:val="000000"/>
          <w:sz w:val="20"/>
          <w:szCs w:val="20"/>
        </w:rPr>
        <w:t>The definitions and provisions contained in the 2021 ISDA Interest Rate Derivatives Definitions</w:t>
      </w:r>
      <w:r w:rsidR="00826B9C">
        <w:rPr>
          <w:rFonts w:ascii="Times New Roman" w:hAnsi="Times New Roman" w:cs="Times New Roman"/>
          <w:color w:val="000000"/>
          <w:sz w:val="20"/>
          <w:szCs w:val="20"/>
        </w:rPr>
        <w:t xml:space="preserve"> </w:t>
      </w:r>
      <w:r w:rsidR="00826B9C" w:rsidRPr="00F34A29">
        <w:rPr>
          <w:rFonts w:ascii="Times New Roman" w:hAnsi="Times New Roman" w:cs="Times New Roman"/>
          <w:color w:val="000000"/>
          <w:sz w:val="20"/>
          <w:szCs w:val="20"/>
        </w:rPr>
        <w:t>(the “Definitions”)</w:t>
      </w:r>
      <w:r w:rsidRPr="005822CE">
        <w:rPr>
          <w:rFonts w:ascii="Times New Roman" w:hAnsi="Times New Roman" w:cs="Times New Roman"/>
          <w:color w:val="000000"/>
          <w:sz w:val="20"/>
          <w:szCs w:val="20"/>
        </w:rPr>
        <w:t>, as published by the International Swaps and Derivatives Association, Inc., are incorporated into this Confirmation. In the event of any inconsistency between those definitions and provisions and this Confirmation, this Confirmation will govern.</w:t>
      </w:r>
    </w:p>
    <w:p w14:paraId="2F4C1B1A" w14:textId="03F04953" w:rsidR="005822CE" w:rsidRDefault="005822CE" w:rsidP="005822C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color w:val="000000"/>
          <w:sz w:val="20"/>
          <w:szCs w:val="20"/>
        </w:rPr>
      </w:pPr>
      <w:r w:rsidRPr="005822CE">
        <w:rPr>
          <w:rFonts w:ascii="Times New Roman" w:hAnsi="Times New Roman" w:cs="Times New Roman"/>
          <w:color w:val="000000"/>
          <w:sz w:val="20"/>
          <w:szCs w:val="20"/>
        </w:rPr>
        <w:t>This Confirmation constitutes a “Confirmation” as referred to in, and supplements, forms part of and is subject to, the ISDA Master Agreement dated as of [date], as amended and supplemented from time to time (the “Agreement”), between Party A and Party B. All provisions contained in the Agreement govern this Confirmation except as expressly modified below</w:t>
      </w:r>
      <w:r w:rsidR="00B17928">
        <w:rPr>
          <w:rFonts w:ascii="Times New Roman" w:hAnsi="Times New Roman" w:cs="Times New Roman"/>
          <w:color w:val="000000"/>
          <w:sz w:val="20"/>
          <w:szCs w:val="20"/>
        </w:rPr>
        <w:t>.</w:t>
      </w:r>
    </w:p>
    <w:p w14:paraId="505D8E26" w14:textId="77777777" w:rsidR="00D00847" w:rsidRDefault="00D00847" w:rsidP="00D0084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color w:val="000000"/>
          <w:sz w:val="20"/>
          <w:szCs w:val="20"/>
        </w:rPr>
      </w:pPr>
      <w:proofErr w:type="gramStart"/>
      <w:r w:rsidRPr="00F34A29">
        <w:rPr>
          <w:rFonts w:ascii="Times New Roman" w:hAnsi="Times New Roman" w:cs="Times New Roman"/>
          <w:color w:val="000000"/>
          <w:sz w:val="20"/>
          <w:szCs w:val="20"/>
        </w:rPr>
        <w:t>For the purpose of</w:t>
      </w:r>
      <w:proofErr w:type="gramEnd"/>
      <w:r w:rsidRPr="00F34A29">
        <w:rPr>
          <w:rFonts w:ascii="Times New Roman" w:hAnsi="Times New Roman" w:cs="Times New Roman"/>
          <w:color w:val="000000"/>
          <w:sz w:val="20"/>
          <w:szCs w:val="20"/>
        </w:rPr>
        <w:t xml:space="preserve"> this Confirmation, all references in the Definitions or the Agreement to a “Swap Transaction” shall be deemed to be </w:t>
      </w:r>
      <w:r>
        <w:rPr>
          <w:rFonts w:ascii="Times New Roman" w:hAnsi="Times New Roman" w:cs="Times New Roman"/>
          <w:color w:val="000000"/>
          <w:sz w:val="20"/>
          <w:szCs w:val="20"/>
        </w:rPr>
        <w:t>references to this Transaction.</w:t>
      </w:r>
    </w:p>
    <w:p w14:paraId="5CFD7D80" w14:textId="77777777" w:rsidR="00012DDE" w:rsidRPr="00F34A29" w:rsidRDefault="00012DDE" w:rsidP="00D0084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color w:val="000000"/>
          <w:sz w:val="20"/>
          <w:szCs w:val="20"/>
        </w:rPr>
      </w:pPr>
    </w:p>
    <w:p w14:paraId="4F66E1C2" w14:textId="3A08BD03" w:rsidR="00D00847" w:rsidRPr="00F34A29" w:rsidRDefault="00D00847" w:rsidP="00D00847">
      <w:pPr>
        <w:ind w:left="360" w:hanging="360"/>
        <w:rPr>
          <w:rFonts w:ascii="Times New Roman" w:hAnsi="Times New Roman" w:cs="Times New Roman"/>
          <w:color w:val="000000"/>
          <w:sz w:val="20"/>
          <w:szCs w:val="20"/>
        </w:rPr>
      </w:pPr>
      <w:r w:rsidRPr="00F34A29">
        <w:rPr>
          <w:rFonts w:ascii="Times New Roman" w:hAnsi="Times New Roman" w:cs="Times New Roman"/>
          <w:color w:val="000000"/>
          <w:sz w:val="20"/>
          <w:szCs w:val="20"/>
        </w:rPr>
        <w:t xml:space="preserve">The terms of the </w:t>
      </w:r>
      <w:proofErr w:type="gramStart"/>
      <w:r w:rsidRPr="00F34A29">
        <w:rPr>
          <w:rFonts w:ascii="Times New Roman" w:hAnsi="Times New Roman" w:cs="Times New Roman"/>
          <w:color w:val="000000"/>
          <w:sz w:val="20"/>
          <w:szCs w:val="20"/>
        </w:rPr>
        <w:t>particular Transaction</w:t>
      </w:r>
      <w:proofErr w:type="gramEnd"/>
      <w:r w:rsidRPr="00F34A29">
        <w:rPr>
          <w:rFonts w:ascii="Times New Roman" w:hAnsi="Times New Roman" w:cs="Times New Roman"/>
          <w:color w:val="000000"/>
          <w:sz w:val="20"/>
          <w:szCs w:val="20"/>
        </w:rPr>
        <w:t xml:space="preserve"> to which this Confi</w:t>
      </w:r>
      <w:r w:rsidR="00976BEC">
        <w:rPr>
          <w:rFonts w:ascii="Times New Roman" w:hAnsi="Times New Roman" w:cs="Times New Roman"/>
          <w:color w:val="000000"/>
          <w:sz w:val="20"/>
          <w:szCs w:val="20"/>
        </w:rPr>
        <w:t>rmation relates are as follows:</w:t>
      </w:r>
    </w:p>
    <w:bookmarkEnd w:id="0"/>
    <w:p w14:paraId="38EFB4A1" w14:textId="69B349C6" w:rsidR="00D00847" w:rsidRPr="00AE1DA1" w:rsidRDefault="00083C9E" w:rsidP="00D00847">
      <w:pPr>
        <w:tabs>
          <w:tab w:val="left" w:pos="4320"/>
        </w:tabs>
        <w:ind w:left="360" w:hanging="360"/>
        <w:rPr>
          <w:rFonts w:ascii="Times New Roman" w:hAnsi="Times New Roman" w:cs="Times New Roman"/>
          <w:b/>
          <w:bCs/>
          <w:color w:val="000000"/>
          <w:sz w:val="20"/>
          <w:szCs w:val="20"/>
        </w:rPr>
      </w:pPr>
      <w:r w:rsidRPr="00AE1DA1">
        <w:rPr>
          <w:rFonts w:ascii="Times New Roman" w:hAnsi="Times New Roman" w:cs="Times New Roman"/>
          <w:b/>
          <w:bCs/>
          <w:color w:val="000000"/>
          <w:sz w:val="20"/>
          <w:szCs w:val="20"/>
        </w:rPr>
        <w:t>1. General Terms</w:t>
      </w:r>
    </w:p>
    <w:p w14:paraId="6DF8BFF6" w14:textId="12FDD095" w:rsidR="00D00847" w:rsidRPr="00F34A29" w:rsidRDefault="009E4ED0" w:rsidP="00D00847">
      <w:pPr>
        <w:tabs>
          <w:tab w:val="left" w:pos="4320"/>
        </w:tabs>
        <w:ind w:left="720"/>
        <w:rPr>
          <w:rFonts w:ascii="Times New Roman" w:hAnsi="Times New Roman" w:cs="Times New Roman"/>
          <w:color w:val="000000"/>
          <w:sz w:val="20"/>
          <w:szCs w:val="20"/>
        </w:rPr>
      </w:pPr>
      <w:r>
        <w:rPr>
          <w:rFonts w:ascii="Times New Roman" w:hAnsi="Times New Roman" w:cs="Times New Roman"/>
          <w:color w:val="000000"/>
          <w:sz w:val="20"/>
          <w:szCs w:val="20"/>
        </w:rPr>
        <w:t>Trade Date:</w:t>
      </w:r>
      <w:r>
        <w:rPr>
          <w:rFonts w:ascii="Times New Roman" w:hAnsi="Times New Roman" w:cs="Times New Roman"/>
          <w:color w:val="000000"/>
          <w:sz w:val="20"/>
          <w:szCs w:val="20"/>
        </w:rPr>
        <w:tab/>
      </w:r>
      <w:proofErr w:type="gramStart"/>
      <w:r w:rsidR="00B17928">
        <w:rPr>
          <w:rFonts w:ascii="Times New Roman" w:hAnsi="Times New Roman" w:cs="Times New Roman"/>
          <w:color w:val="000000"/>
          <w:sz w:val="20"/>
          <w:szCs w:val="20"/>
        </w:rPr>
        <w:t>[ ]</w:t>
      </w:r>
      <w:proofErr w:type="gramEnd"/>
    </w:p>
    <w:p w14:paraId="7AE920CC" w14:textId="763AD00D" w:rsidR="00D00847" w:rsidRPr="00F34A29" w:rsidRDefault="00D00847" w:rsidP="00385AAB">
      <w:pPr>
        <w:tabs>
          <w:tab w:val="left" w:pos="4320"/>
        </w:tabs>
        <w:ind w:left="720"/>
        <w:rPr>
          <w:rFonts w:ascii="Times New Roman" w:hAnsi="Times New Roman" w:cs="Times New Roman"/>
          <w:color w:val="000000"/>
          <w:sz w:val="20"/>
          <w:szCs w:val="20"/>
        </w:rPr>
      </w:pPr>
      <w:r w:rsidRPr="00F34A29">
        <w:rPr>
          <w:rFonts w:ascii="Times New Roman" w:hAnsi="Times New Roman" w:cs="Times New Roman"/>
          <w:color w:val="000000"/>
          <w:sz w:val="20"/>
          <w:szCs w:val="20"/>
        </w:rPr>
        <w:t>Effective Date:</w:t>
      </w:r>
      <w:r w:rsidRPr="00F34A29">
        <w:rPr>
          <w:rFonts w:ascii="Times New Roman" w:hAnsi="Times New Roman" w:cs="Times New Roman"/>
          <w:color w:val="000000"/>
          <w:sz w:val="20"/>
          <w:szCs w:val="20"/>
        </w:rPr>
        <w:tab/>
      </w:r>
      <w:proofErr w:type="gramStart"/>
      <w:r w:rsidR="00B17928">
        <w:rPr>
          <w:rFonts w:ascii="Times New Roman" w:hAnsi="Times New Roman" w:cs="Times New Roman"/>
          <w:color w:val="000000"/>
          <w:sz w:val="20"/>
          <w:szCs w:val="20"/>
        </w:rPr>
        <w:t xml:space="preserve">[ </w:t>
      </w:r>
      <w:r w:rsidR="00012DDE">
        <w:rPr>
          <w:rFonts w:ascii="Times New Roman" w:hAnsi="Times New Roman" w:cs="Times New Roman"/>
          <w:color w:val="000000"/>
          <w:sz w:val="20"/>
          <w:szCs w:val="20"/>
        </w:rPr>
        <w:t>]</w:t>
      </w:r>
      <w:proofErr w:type="gramEnd"/>
    </w:p>
    <w:p w14:paraId="5C9C299E" w14:textId="288CB9F7" w:rsidR="00D03038" w:rsidRDefault="009E4ED0" w:rsidP="009E4ED0">
      <w:pPr>
        <w:tabs>
          <w:tab w:val="left" w:pos="4320"/>
        </w:tabs>
        <w:ind w:left="4320" w:hanging="3600"/>
        <w:rPr>
          <w:rFonts w:ascii="Times New Roman" w:hAnsi="Times New Roman" w:cs="Times New Roman"/>
          <w:color w:val="000000"/>
          <w:sz w:val="20"/>
          <w:szCs w:val="20"/>
        </w:rPr>
      </w:pPr>
      <w:r>
        <w:rPr>
          <w:rFonts w:ascii="Times New Roman" w:hAnsi="Times New Roman" w:cs="Times New Roman"/>
          <w:color w:val="000000"/>
          <w:sz w:val="20"/>
          <w:szCs w:val="20"/>
        </w:rPr>
        <w:t>Termination Date:</w:t>
      </w:r>
      <w:r>
        <w:rPr>
          <w:rFonts w:ascii="Times New Roman" w:hAnsi="Times New Roman" w:cs="Times New Roman"/>
          <w:color w:val="000000"/>
          <w:sz w:val="20"/>
          <w:szCs w:val="20"/>
        </w:rPr>
        <w:tab/>
      </w:r>
      <w:proofErr w:type="gramStart"/>
      <w:r w:rsidR="00012DDE">
        <w:rPr>
          <w:rFonts w:ascii="Times New Roman" w:hAnsi="Times New Roman" w:cs="Times New Roman"/>
          <w:color w:val="000000"/>
          <w:sz w:val="20"/>
          <w:szCs w:val="20"/>
        </w:rPr>
        <w:t>[ ]</w:t>
      </w:r>
      <w:proofErr w:type="gramEnd"/>
      <w:r w:rsidR="00012DDE">
        <w:rPr>
          <w:rFonts w:ascii="Times New Roman" w:hAnsi="Times New Roman" w:cs="Times New Roman"/>
          <w:color w:val="000000"/>
          <w:sz w:val="20"/>
          <w:szCs w:val="20"/>
        </w:rPr>
        <w:t xml:space="preserve"> </w:t>
      </w:r>
      <w:r w:rsidR="00012DDE" w:rsidRPr="00012DDE">
        <w:rPr>
          <w:rFonts w:ascii="Times New Roman" w:hAnsi="Times New Roman" w:cs="Times New Roman"/>
          <w:color w:val="000000"/>
          <w:sz w:val="20"/>
          <w:szCs w:val="20"/>
        </w:rPr>
        <w:t>[, subject to adjustment in accordance with the [Following/Modified Following/Preceding] Business Day Convention]</w:t>
      </w:r>
      <w:r w:rsidR="00012DDE">
        <w:rPr>
          <w:rStyle w:val="af6"/>
          <w:rFonts w:ascii="Times New Roman" w:hAnsi="Times New Roman" w:cs="Times New Roman"/>
          <w:color w:val="000000"/>
          <w:sz w:val="20"/>
          <w:szCs w:val="20"/>
        </w:rPr>
        <w:footnoteReference w:id="2"/>
      </w:r>
      <w:r w:rsidR="000B71C7" w:rsidRPr="000B71C7">
        <w:t xml:space="preserve"> </w:t>
      </w:r>
    </w:p>
    <w:p w14:paraId="2310E295" w14:textId="4F781EDC" w:rsidR="000B71C7" w:rsidRPr="000B71C7" w:rsidRDefault="000B71C7" w:rsidP="000B71C7">
      <w:pPr>
        <w:tabs>
          <w:tab w:val="left" w:pos="4320"/>
        </w:tabs>
        <w:ind w:left="4320" w:hanging="3600"/>
        <w:rPr>
          <w:rFonts w:ascii="Times New Roman" w:hAnsi="Times New Roman" w:cs="Times New Roman"/>
          <w:color w:val="000000"/>
          <w:sz w:val="20"/>
          <w:szCs w:val="20"/>
        </w:rPr>
      </w:pPr>
      <w:r w:rsidRPr="000B71C7">
        <w:rPr>
          <w:rFonts w:ascii="Times New Roman" w:hAnsi="Times New Roman" w:cs="Times New Roman"/>
          <w:color w:val="000000"/>
          <w:sz w:val="20"/>
          <w:szCs w:val="20"/>
        </w:rPr>
        <w:t xml:space="preserve">Constant Currency Payer: </w:t>
      </w:r>
      <w:r w:rsidRPr="000B71C7">
        <w:rPr>
          <w:rFonts w:ascii="Times New Roman" w:hAnsi="Times New Roman" w:cs="Times New Roman"/>
          <w:color w:val="000000"/>
          <w:sz w:val="20"/>
          <w:szCs w:val="20"/>
        </w:rPr>
        <w:tab/>
      </w:r>
      <w:r w:rsidR="00F54EEC">
        <w:rPr>
          <w:rFonts w:ascii="Times New Roman" w:hAnsi="Times New Roman" w:cs="Times New Roman"/>
          <w:color w:val="000000"/>
          <w:sz w:val="20"/>
          <w:szCs w:val="20"/>
        </w:rPr>
        <w:t>Party A</w:t>
      </w:r>
    </w:p>
    <w:p w14:paraId="59D12F64" w14:textId="77777777" w:rsidR="000B71C7" w:rsidRPr="000B71C7" w:rsidRDefault="000B71C7" w:rsidP="000B71C7">
      <w:pPr>
        <w:tabs>
          <w:tab w:val="left" w:pos="4320"/>
        </w:tabs>
        <w:ind w:left="4320" w:hanging="3600"/>
        <w:rPr>
          <w:rFonts w:ascii="Times New Roman" w:hAnsi="Times New Roman" w:cs="Times New Roman"/>
          <w:color w:val="000000"/>
          <w:sz w:val="20"/>
          <w:szCs w:val="20"/>
        </w:rPr>
      </w:pPr>
    </w:p>
    <w:p w14:paraId="1D187A75" w14:textId="0080AD3B" w:rsidR="000B71C7" w:rsidRPr="000B71C7" w:rsidRDefault="000B71C7" w:rsidP="000B71C7">
      <w:pPr>
        <w:tabs>
          <w:tab w:val="left" w:pos="4320"/>
        </w:tabs>
        <w:ind w:left="4320" w:hanging="3600"/>
        <w:rPr>
          <w:rFonts w:ascii="Times New Roman" w:hAnsi="Times New Roman" w:cs="Times New Roman"/>
          <w:color w:val="000000"/>
          <w:sz w:val="20"/>
          <w:szCs w:val="20"/>
        </w:rPr>
      </w:pPr>
      <w:r w:rsidRPr="000B71C7">
        <w:rPr>
          <w:rFonts w:ascii="Times New Roman" w:hAnsi="Times New Roman" w:cs="Times New Roman"/>
          <w:color w:val="000000"/>
          <w:sz w:val="20"/>
          <w:szCs w:val="20"/>
        </w:rPr>
        <w:lastRenderedPageBreak/>
        <w:t>Constant Currency:</w:t>
      </w:r>
      <w:r w:rsidRPr="000B71C7">
        <w:rPr>
          <w:rFonts w:ascii="Times New Roman" w:hAnsi="Times New Roman" w:cs="Times New Roman"/>
          <w:color w:val="000000"/>
          <w:sz w:val="20"/>
          <w:szCs w:val="20"/>
        </w:rPr>
        <w:tab/>
      </w:r>
      <w:r w:rsidRPr="000B71C7">
        <w:rPr>
          <w:rFonts w:ascii="Times New Roman" w:hAnsi="Times New Roman" w:cs="Times New Roman"/>
          <w:color w:val="000000"/>
          <w:sz w:val="20"/>
          <w:szCs w:val="20"/>
        </w:rPr>
        <w:tab/>
        <w:t>KZT</w:t>
      </w:r>
    </w:p>
    <w:p w14:paraId="6510E722" w14:textId="1013D64B" w:rsidR="000B71C7" w:rsidRPr="000B71C7" w:rsidRDefault="000B71C7" w:rsidP="000B71C7">
      <w:pPr>
        <w:tabs>
          <w:tab w:val="left" w:pos="4320"/>
        </w:tabs>
        <w:ind w:left="4320" w:hanging="3600"/>
        <w:rPr>
          <w:rFonts w:ascii="Times New Roman" w:hAnsi="Times New Roman" w:cs="Times New Roman"/>
          <w:color w:val="000000"/>
          <w:sz w:val="20"/>
          <w:szCs w:val="20"/>
        </w:rPr>
      </w:pPr>
      <w:r w:rsidRPr="000B71C7">
        <w:rPr>
          <w:rFonts w:ascii="Times New Roman" w:hAnsi="Times New Roman" w:cs="Times New Roman"/>
          <w:color w:val="000000"/>
          <w:sz w:val="20"/>
          <w:szCs w:val="20"/>
        </w:rPr>
        <w:t>Constant Currency Amount:</w:t>
      </w:r>
      <w:r w:rsidRPr="000B71C7">
        <w:rPr>
          <w:rFonts w:ascii="Times New Roman" w:hAnsi="Times New Roman" w:cs="Times New Roman"/>
          <w:color w:val="000000"/>
          <w:sz w:val="20"/>
          <w:szCs w:val="20"/>
        </w:rPr>
        <w:tab/>
      </w:r>
      <w:r w:rsidRPr="000B71C7">
        <w:rPr>
          <w:rFonts w:ascii="Times New Roman" w:hAnsi="Times New Roman" w:cs="Times New Roman"/>
          <w:color w:val="000000"/>
          <w:sz w:val="20"/>
          <w:szCs w:val="20"/>
        </w:rPr>
        <w:tab/>
        <w:t>KZT [•]</w:t>
      </w:r>
    </w:p>
    <w:p w14:paraId="4CFE5CCD" w14:textId="05DC2E92" w:rsidR="000B71C7" w:rsidRPr="000B71C7" w:rsidRDefault="000B71C7" w:rsidP="000B71C7">
      <w:pPr>
        <w:tabs>
          <w:tab w:val="left" w:pos="4320"/>
        </w:tabs>
        <w:ind w:left="4320" w:hanging="3600"/>
        <w:rPr>
          <w:rFonts w:ascii="Times New Roman" w:hAnsi="Times New Roman" w:cs="Times New Roman"/>
          <w:color w:val="000000"/>
          <w:sz w:val="20"/>
          <w:szCs w:val="20"/>
        </w:rPr>
      </w:pPr>
      <w:r w:rsidRPr="000B71C7">
        <w:rPr>
          <w:rFonts w:ascii="Times New Roman" w:hAnsi="Times New Roman" w:cs="Times New Roman"/>
          <w:color w:val="000000"/>
          <w:sz w:val="20"/>
          <w:szCs w:val="20"/>
        </w:rPr>
        <w:t xml:space="preserve">Variable Currency Payer: </w:t>
      </w:r>
      <w:r w:rsidRPr="000B71C7">
        <w:rPr>
          <w:rFonts w:ascii="Times New Roman" w:hAnsi="Times New Roman" w:cs="Times New Roman"/>
          <w:color w:val="000000"/>
          <w:sz w:val="20"/>
          <w:szCs w:val="20"/>
        </w:rPr>
        <w:tab/>
      </w:r>
      <w:r w:rsidRPr="000B71C7">
        <w:rPr>
          <w:rFonts w:ascii="Times New Roman" w:hAnsi="Times New Roman" w:cs="Times New Roman"/>
          <w:color w:val="000000"/>
          <w:sz w:val="20"/>
          <w:szCs w:val="20"/>
        </w:rPr>
        <w:tab/>
      </w:r>
      <w:r w:rsidR="00F54EEC">
        <w:rPr>
          <w:rFonts w:ascii="Times New Roman" w:hAnsi="Times New Roman" w:cs="Times New Roman"/>
          <w:color w:val="000000"/>
          <w:sz w:val="20"/>
          <w:szCs w:val="20"/>
        </w:rPr>
        <w:t>Party B</w:t>
      </w:r>
    </w:p>
    <w:p w14:paraId="549631BE" w14:textId="791114F3" w:rsidR="000B71C7" w:rsidRDefault="000B71C7" w:rsidP="000B71C7">
      <w:pPr>
        <w:tabs>
          <w:tab w:val="left" w:pos="4320"/>
        </w:tabs>
        <w:ind w:left="4320" w:hanging="3600"/>
        <w:rPr>
          <w:rFonts w:ascii="Times New Roman" w:hAnsi="Times New Roman" w:cs="Times New Roman"/>
          <w:color w:val="000000"/>
          <w:sz w:val="20"/>
          <w:szCs w:val="20"/>
        </w:rPr>
      </w:pPr>
      <w:r w:rsidRPr="000B71C7">
        <w:rPr>
          <w:rFonts w:ascii="Times New Roman" w:hAnsi="Times New Roman" w:cs="Times New Roman"/>
          <w:color w:val="000000"/>
          <w:sz w:val="20"/>
          <w:szCs w:val="20"/>
        </w:rPr>
        <w:t>Variable Currency:</w:t>
      </w:r>
      <w:r w:rsidRPr="000B71C7">
        <w:rPr>
          <w:rFonts w:ascii="Times New Roman" w:hAnsi="Times New Roman" w:cs="Times New Roman"/>
          <w:color w:val="000000"/>
          <w:sz w:val="20"/>
          <w:szCs w:val="20"/>
        </w:rPr>
        <w:tab/>
      </w:r>
      <w:r w:rsidRPr="000B71C7">
        <w:rPr>
          <w:rFonts w:ascii="Times New Roman" w:hAnsi="Times New Roman" w:cs="Times New Roman"/>
          <w:color w:val="000000"/>
          <w:sz w:val="20"/>
          <w:szCs w:val="20"/>
        </w:rPr>
        <w:tab/>
        <w:t>USD</w:t>
      </w:r>
    </w:p>
    <w:p w14:paraId="7D1103B7" w14:textId="20FF313F" w:rsidR="00494CE0" w:rsidRPr="005A496B" w:rsidRDefault="009C6229" w:rsidP="005A496B">
      <w:pPr>
        <w:tabs>
          <w:tab w:val="left" w:pos="4320"/>
        </w:tabs>
        <w:ind w:left="4320" w:hanging="3600"/>
        <w:rPr>
          <w:rFonts w:ascii="Times New Roman" w:hAnsi="Times New Roman" w:cs="Times New Roman"/>
          <w:color w:val="000000"/>
          <w:sz w:val="20"/>
          <w:szCs w:val="20"/>
        </w:rPr>
      </w:pPr>
      <w:r>
        <w:rPr>
          <w:rFonts w:ascii="Times New Roman" w:hAnsi="Times New Roman" w:cs="Times New Roman"/>
          <w:color w:val="000000"/>
          <w:sz w:val="20"/>
          <w:szCs w:val="20"/>
        </w:rPr>
        <w:t xml:space="preserve">Calculation Agent: </w:t>
      </w:r>
      <w:r>
        <w:rPr>
          <w:rFonts w:ascii="Times New Roman" w:hAnsi="Times New Roman" w:cs="Times New Roman"/>
          <w:color w:val="000000"/>
          <w:sz w:val="20"/>
          <w:szCs w:val="20"/>
        </w:rPr>
        <w:tab/>
      </w:r>
      <w:r w:rsidR="000B71C7">
        <w:rPr>
          <w:rFonts w:ascii="Times New Roman" w:hAnsi="Times New Roman" w:cs="Times New Roman"/>
          <w:color w:val="000000"/>
          <w:sz w:val="20"/>
          <w:szCs w:val="20"/>
        </w:rPr>
        <w:tab/>
      </w:r>
      <w:proofErr w:type="gramStart"/>
      <w:r w:rsidR="00012DDE">
        <w:rPr>
          <w:rFonts w:ascii="Times New Roman" w:hAnsi="Times New Roman" w:cs="Times New Roman"/>
          <w:color w:val="000000"/>
          <w:sz w:val="20"/>
          <w:szCs w:val="20"/>
        </w:rPr>
        <w:t>[ ]</w:t>
      </w:r>
      <w:proofErr w:type="gramEnd"/>
      <w:r w:rsidR="00012DDE">
        <w:rPr>
          <w:rFonts w:ascii="Times New Roman" w:hAnsi="Times New Roman" w:cs="Times New Roman"/>
          <w:color w:val="000000"/>
          <w:sz w:val="20"/>
          <w:szCs w:val="20"/>
        </w:rPr>
        <w:t xml:space="preserve"> </w:t>
      </w:r>
    </w:p>
    <w:p w14:paraId="1C4780B7" w14:textId="398C16B6" w:rsidR="000B71C7" w:rsidRPr="000B71C7" w:rsidRDefault="000B71C7" w:rsidP="000B71C7">
      <w:pPr>
        <w:tabs>
          <w:tab w:val="left" w:pos="4320"/>
        </w:tabs>
        <w:ind w:left="5040" w:hanging="4320"/>
        <w:rPr>
          <w:rFonts w:ascii="Times New Roman" w:hAnsi="Times New Roman" w:cs="Times New Roman"/>
          <w:color w:val="000000"/>
          <w:sz w:val="20"/>
          <w:szCs w:val="20"/>
        </w:rPr>
      </w:pPr>
      <w:r w:rsidRPr="000B71C7">
        <w:rPr>
          <w:rFonts w:ascii="Times New Roman" w:hAnsi="Times New Roman" w:cs="Times New Roman"/>
          <w:color w:val="000000"/>
          <w:sz w:val="20"/>
          <w:szCs w:val="20"/>
        </w:rPr>
        <w:t>Variable Currency Amount:</w:t>
      </w:r>
      <w:r w:rsidRPr="000B71C7">
        <w:rPr>
          <w:rFonts w:ascii="Times New Roman" w:hAnsi="Times New Roman" w:cs="Times New Roman"/>
          <w:color w:val="000000"/>
          <w:sz w:val="20"/>
          <w:szCs w:val="20"/>
        </w:rPr>
        <w:tab/>
      </w:r>
      <w:r w:rsidRPr="000B71C7">
        <w:rPr>
          <w:rFonts w:ascii="Times New Roman" w:hAnsi="Times New Roman" w:cs="Times New Roman"/>
          <w:color w:val="000000"/>
          <w:sz w:val="20"/>
          <w:szCs w:val="20"/>
        </w:rPr>
        <w:tab/>
        <w:t>Means, in respect of any Calculation Period, the Currency Amount in respect of the Variable Currency Payer, which will be:</w:t>
      </w:r>
    </w:p>
    <w:p w14:paraId="7E21BE60" w14:textId="7E4A1400" w:rsidR="000B71C7" w:rsidRPr="000B71C7" w:rsidRDefault="000B71C7" w:rsidP="00D02301">
      <w:pPr>
        <w:pStyle w:val="aa"/>
        <w:numPr>
          <w:ilvl w:val="0"/>
          <w:numId w:val="2"/>
        </w:numPr>
        <w:tabs>
          <w:tab w:val="left" w:pos="4320"/>
        </w:tabs>
        <w:jc w:val="both"/>
        <w:rPr>
          <w:rFonts w:ascii="Times New Roman" w:hAnsi="Times New Roman" w:cs="Times New Roman"/>
          <w:color w:val="000000"/>
          <w:sz w:val="20"/>
          <w:szCs w:val="20"/>
        </w:rPr>
      </w:pPr>
      <w:r w:rsidRPr="000B71C7">
        <w:rPr>
          <w:rFonts w:ascii="Times New Roman" w:hAnsi="Times New Roman" w:cs="Times New Roman"/>
          <w:color w:val="000000"/>
          <w:sz w:val="20"/>
          <w:szCs w:val="20"/>
        </w:rPr>
        <w:t>for the first Calculation Period, USD [•];</w:t>
      </w:r>
      <w:r w:rsidR="00D02301">
        <w:rPr>
          <w:rFonts w:ascii="Times New Roman" w:hAnsi="Times New Roman" w:cs="Times New Roman"/>
          <w:color w:val="000000"/>
          <w:sz w:val="20"/>
          <w:szCs w:val="20"/>
        </w:rPr>
        <w:t xml:space="preserve"> </w:t>
      </w:r>
      <w:r w:rsidRPr="000B71C7">
        <w:rPr>
          <w:rFonts w:ascii="Times New Roman" w:hAnsi="Times New Roman" w:cs="Times New Roman"/>
          <w:color w:val="000000"/>
          <w:sz w:val="20"/>
          <w:szCs w:val="20"/>
        </w:rPr>
        <w:t xml:space="preserve">and </w:t>
      </w:r>
    </w:p>
    <w:p w14:paraId="35C9F4D9" w14:textId="7F08E9E8" w:rsidR="000B71C7" w:rsidRPr="000B71C7" w:rsidRDefault="000B71C7" w:rsidP="00D02301">
      <w:pPr>
        <w:pStyle w:val="aa"/>
        <w:numPr>
          <w:ilvl w:val="0"/>
          <w:numId w:val="2"/>
        </w:numPr>
        <w:tabs>
          <w:tab w:val="left" w:pos="4320"/>
        </w:tabs>
        <w:jc w:val="both"/>
        <w:rPr>
          <w:rFonts w:ascii="Times New Roman" w:hAnsi="Times New Roman" w:cs="Times New Roman"/>
          <w:color w:val="000000"/>
          <w:sz w:val="20"/>
          <w:szCs w:val="20"/>
        </w:rPr>
      </w:pPr>
      <w:r w:rsidRPr="000B71C7">
        <w:rPr>
          <w:rFonts w:ascii="Times New Roman" w:hAnsi="Times New Roman" w:cs="Times New Roman"/>
          <w:color w:val="000000"/>
          <w:sz w:val="20"/>
          <w:szCs w:val="20"/>
        </w:rPr>
        <w:t>for each subsequent Calculation Period, an amount equal to the Constant Currency Amount expressed in the Variable Currency by reference to the Currency Exchange Rate for such Calculation Period</w:t>
      </w:r>
    </w:p>
    <w:p w14:paraId="6326B583" w14:textId="451E1F2E" w:rsidR="000B71C7" w:rsidRDefault="00D02301" w:rsidP="000B71C7">
      <w:pPr>
        <w:tabs>
          <w:tab w:val="left" w:pos="4320"/>
        </w:tabs>
        <w:ind w:left="4320" w:hanging="360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0B71C7" w:rsidRPr="000B71C7">
        <w:rPr>
          <w:rFonts w:ascii="Times New Roman" w:hAnsi="Times New Roman" w:cs="Times New Roman"/>
          <w:color w:val="000000"/>
          <w:sz w:val="20"/>
          <w:szCs w:val="20"/>
        </w:rPr>
        <w:t>Currency Exchange Rate:</w:t>
      </w:r>
      <w:r w:rsidR="000B71C7" w:rsidRPr="000B71C7">
        <w:rPr>
          <w:rFonts w:ascii="Times New Roman" w:hAnsi="Times New Roman" w:cs="Times New Roman"/>
          <w:color w:val="000000"/>
          <w:sz w:val="20"/>
          <w:szCs w:val="20"/>
        </w:rPr>
        <w:tab/>
      </w:r>
      <w:r w:rsidR="000B71C7" w:rsidRPr="000B71C7">
        <w:rPr>
          <w:rFonts w:ascii="Times New Roman" w:hAnsi="Times New Roman" w:cs="Times New Roman"/>
          <w:color w:val="000000"/>
          <w:sz w:val="20"/>
          <w:szCs w:val="20"/>
        </w:rPr>
        <w:tab/>
        <w:t xml:space="preserve">USD/KZT </w:t>
      </w:r>
    </w:p>
    <w:p w14:paraId="338567C6" w14:textId="6855F1F3" w:rsidR="000B71C7" w:rsidRDefault="000B71C7" w:rsidP="000B71C7">
      <w:pPr>
        <w:tabs>
          <w:tab w:val="left" w:pos="4320"/>
        </w:tabs>
        <w:ind w:left="5040" w:hanging="3600"/>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0B71C7">
        <w:rPr>
          <w:rFonts w:ascii="Times New Roman" w:hAnsi="Times New Roman" w:cs="Times New Roman"/>
          <w:color w:val="000000"/>
          <w:sz w:val="20"/>
          <w:szCs w:val="20"/>
        </w:rPr>
        <w:t xml:space="preserve">Where ‘USD/KZT’ means the USD/KZT rate expressed </w:t>
      </w:r>
      <w:proofErr w:type="gramStart"/>
      <w:r w:rsidRPr="000B71C7">
        <w:rPr>
          <w:rFonts w:ascii="Times New Roman" w:hAnsi="Times New Roman" w:cs="Times New Roman"/>
          <w:color w:val="000000"/>
          <w:sz w:val="20"/>
          <w:szCs w:val="20"/>
        </w:rPr>
        <w:t xml:space="preserve">as </w:t>
      </w:r>
      <w:r>
        <w:rPr>
          <w:rFonts w:ascii="Times New Roman" w:hAnsi="Times New Roman" w:cs="Times New Roman"/>
          <w:color w:val="000000"/>
          <w:sz w:val="20"/>
          <w:szCs w:val="20"/>
        </w:rPr>
        <w:t xml:space="preserve"> </w:t>
      </w:r>
      <w:r w:rsidRPr="000B71C7">
        <w:rPr>
          <w:rFonts w:ascii="Times New Roman" w:hAnsi="Times New Roman" w:cs="Times New Roman"/>
          <w:color w:val="000000"/>
          <w:sz w:val="20"/>
          <w:szCs w:val="20"/>
        </w:rPr>
        <w:t>an</w:t>
      </w:r>
      <w:proofErr w:type="gramEnd"/>
      <w:r w:rsidRPr="000B71C7">
        <w:rPr>
          <w:rFonts w:ascii="Times New Roman" w:hAnsi="Times New Roman" w:cs="Times New Roman"/>
          <w:color w:val="000000"/>
          <w:sz w:val="20"/>
          <w:szCs w:val="20"/>
        </w:rPr>
        <w:t xml:space="preserve"> amount of Kazakh Tenge per one United States Dollar as published by the Kazakhstan Stock Exchange Inc. on its website, as observed by the Calculation Agent at approximately 5 p.m. Almaty time (the “Fixing Time”) on the relevant scheduled Currency Exchange Rate Fixing Date.</w:t>
      </w:r>
    </w:p>
    <w:p w14:paraId="454748BB" w14:textId="77777777" w:rsidR="00D02301" w:rsidRDefault="000B71C7" w:rsidP="00D02301">
      <w:pPr>
        <w:tabs>
          <w:tab w:val="left" w:pos="4320"/>
        </w:tabs>
        <w:ind w:left="5040" w:hanging="3600"/>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0B71C7">
        <w:rPr>
          <w:rFonts w:ascii="Times New Roman" w:hAnsi="Times New Roman" w:cs="Times New Roman"/>
          <w:color w:val="000000"/>
          <w:sz w:val="20"/>
          <w:szCs w:val="20"/>
        </w:rPr>
        <w:t>If such rate does not appear on such website on the Fixing Time on a scheduled Currency Exchange Rate Fixing Date and the parties are unable to agree on an alternative rate by [•] p.m., Almaty time, (the “Cut Off Time”) on such scheduled Currency Exchange Rate Fixing Date, the rate will be determined by the Calculation Agent at the Cut Off Time on such scheduled Currency Exchange Rate Fixing Date or as close to such time as is reasonably practicable. In doing so, the Calculation Agent shall use any available sources and information that it deems relevant in good faith and in a commercial reasonable manner.</w:t>
      </w:r>
    </w:p>
    <w:p w14:paraId="54AB472D" w14:textId="6956E2CA" w:rsidR="000B71C7" w:rsidRPr="000B71C7" w:rsidRDefault="000B71C7" w:rsidP="00D02301">
      <w:pPr>
        <w:tabs>
          <w:tab w:val="left" w:pos="4320"/>
        </w:tabs>
        <w:ind w:left="5040" w:hanging="3600"/>
        <w:jc w:val="both"/>
        <w:rPr>
          <w:rFonts w:ascii="Times New Roman" w:hAnsi="Times New Roman" w:cs="Times New Roman"/>
          <w:color w:val="000000"/>
          <w:sz w:val="20"/>
          <w:szCs w:val="20"/>
        </w:rPr>
      </w:pPr>
      <w:r w:rsidRPr="000B71C7">
        <w:rPr>
          <w:rFonts w:ascii="Times New Roman" w:hAnsi="Times New Roman" w:cs="Times New Roman"/>
          <w:color w:val="000000"/>
          <w:sz w:val="20"/>
          <w:szCs w:val="20"/>
        </w:rPr>
        <w:t>MTM Amount:</w:t>
      </w:r>
      <w:r w:rsidRPr="000B71C7">
        <w:rPr>
          <w:rFonts w:ascii="Times New Roman" w:hAnsi="Times New Roman" w:cs="Times New Roman"/>
          <w:color w:val="000000"/>
          <w:sz w:val="20"/>
          <w:szCs w:val="20"/>
        </w:rPr>
        <w:tab/>
      </w:r>
      <w:r w:rsidRPr="000B71C7">
        <w:rPr>
          <w:rFonts w:ascii="Times New Roman" w:hAnsi="Times New Roman" w:cs="Times New Roman"/>
          <w:color w:val="000000"/>
          <w:sz w:val="20"/>
          <w:szCs w:val="20"/>
        </w:rPr>
        <w:tab/>
        <w:t>Means, in respect of a Calculation Period, an amount in USD, if any, equal to (</w:t>
      </w:r>
      <w:proofErr w:type="spellStart"/>
      <w:r w:rsidRPr="000B71C7">
        <w:rPr>
          <w:rFonts w:ascii="Times New Roman" w:hAnsi="Times New Roman" w:cs="Times New Roman"/>
          <w:color w:val="000000"/>
          <w:sz w:val="20"/>
          <w:szCs w:val="20"/>
        </w:rPr>
        <w:t>i</w:t>
      </w:r>
      <w:proofErr w:type="spellEnd"/>
      <w:r w:rsidRPr="000B71C7">
        <w:rPr>
          <w:rFonts w:ascii="Times New Roman" w:hAnsi="Times New Roman" w:cs="Times New Roman"/>
          <w:color w:val="000000"/>
          <w:sz w:val="20"/>
          <w:szCs w:val="20"/>
        </w:rPr>
        <w:t xml:space="preserve">) the Variable Currency Amount for such Calculation Period minus (ii) the Variable Currency Amount for the immediately preceding Calculation Period. </w:t>
      </w:r>
    </w:p>
    <w:p w14:paraId="3C266B63" w14:textId="13704E31" w:rsidR="000B71C7" w:rsidRDefault="000B71C7" w:rsidP="000B71C7">
      <w:pPr>
        <w:tabs>
          <w:tab w:val="left" w:pos="4320"/>
        </w:tabs>
        <w:ind w:left="5040" w:hanging="3600"/>
        <w:jc w:val="both"/>
        <w:rPr>
          <w:rFonts w:ascii="Times New Roman" w:hAnsi="Times New Roman" w:cs="Times New Roman"/>
          <w:color w:val="000000"/>
          <w:sz w:val="20"/>
          <w:szCs w:val="20"/>
        </w:rPr>
      </w:pPr>
      <w:r w:rsidRPr="000B71C7">
        <w:rPr>
          <w:rFonts w:ascii="Times New Roman" w:hAnsi="Times New Roman" w:cs="Times New Roman"/>
          <w:color w:val="000000"/>
          <w:sz w:val="20"/>
          <w:szCs w:val="20"/>
        </w:rPr>
        <w:tab/>
      </w:r>
      <w:r w:rsidRPr="000B71C7">
        <w:rPr>
          <w:rFonts w:ascii="Times New Roman" w:hAnsi="Times New Roman" w:cs="Times New Roman"/>
          <w:color w:val="000000"/>
          <w:sz w:val="20"/>
          <w:szCs w:val="20"/>
        </w:rPr>
        <w:tab/>
        <w:t xml:space="preserve">If the MTM Amount is positive, </w:t>
      </w:r>
      <w:r>
        <w:rPr>
          <w:rFonts w:ascii="Times New Roman" w:hAnsi="Times New Roman" w:cs="Times New Roman"/>
          <w:color w:val="000000"/>
          <w:sz w:val="20"/>
          <w:szCs w:val="20"/>
        </w:rPr>
        <w:t xml:space="preserve">[Party A/B] </w:t>
      </w:r>
      <w:r w:rsidRPr="000B71C7">
        <w:rPr>
          <w:rFonts w:ascii="Times New Roman" w:hAnsi="Times New Roman" w:cs="Times New Roman"/>
          <w:color w:val="000000"/>
          <w:sz w:val="20"/>
          <w:szCs w:val="20"/>
        </w:rPr>
        <w:t xml:space="preserve">will pay such amount to </w:t>
      </w:r>
      <w:r>
        <w:rPr>
          <w:rFonts w:ascii="Times New Roman" w:hAnsi="Times New Roman" w:cs="Times New Roman"/>
          <w:color w:val="000000"/>
          <w:sz w:val="20"/>
          <w:szCs w:val="20"/>
        </w:rPr>
        <w:t>[Party A/B]</w:t>
      </w:r>
      <w:r w:rsidRPr="000B71C7">
        <w:rPr>
          <w:rFonts w:ascii="Times New Roman" w:hAnsi="Times New Roman" w:cs="Times New Roman"/>
          <w:color w:val="000000"/>
          <w:sz w:val="20"/>
          <w:szCs w:val="20"/>
        </w:rPr>
        <w:t xml:space="preserve">. If the MTM Amount is negative, </w:t>
      </w:r>
      <w:r>
        <w:rPr>
          <w:rFonts w:ascii="Times New Roman" w:hAnsi="Times New Roman" w:cs="Times New Roman"/>
          <w:color w:val="000000"/>
          <w:sz w:val="20"/>
          <w:szCs w:val="20"/>
        </w:rPr>
        <w:t xml:space="preserve">[Party A/B] </w:t>
      </w:r>
      <w:r w:rsidRPr="000B71C7">
        <w:rPr>
          <w:rFonts w:ascii="Times New Roman" w:hAnsi="Times New Roman" w:cs="Times New Roman"/>
          <w:color w:val="000000"/>
          <w:sz w:val="20"/>
          <w:szCs w:val="20"/>
        </w:rPr>
        <w:t xml:space="preserve">will pay the absolute value of that amount to the </w:t>
      </w:r>
      <w:r>
        <w:rPr>
          <w:rFonts w:ascii="Times New Roman" w:hAnsi="Times New Roman" w:cs="Times New Roman"/>
          <w:color w:val="000000"/>
          <w:sz w:val="20"/>
          <w:szCs w:val="20"/>
        </w:rPr>
        <w:t>[Party A/B]</w:t>
      </w:r>
      <w:r w:rsidRPr="000B71C7">
        <w:rPr>
          <w:rFonts w:ascii="Times New Roman" w:hAnsi="Times New Roman" w:cs="Times New Roman"/>
          <w:color w:val="000000"/>
          <w:sz w:val="20"/>
          <w:szCs w:val="20"/>
        </w:rPr>
        <w:t>.</w:t>
      </w:r>
    </w:p>
    <w:p w14:paraId="116F77FD" w14:textId="39C7001A" w:rsidR="000B71C7" w:rsidRPr="000B71C7" w:rsidRDefault="000B71C7" w:rsidP="000B71C7">
      <w:pPr>
        <w:tabs>
          <w:tab w:val="left" w:pos="4320"/>
        </w:tabs>
        <w:ind w:left="5040" w:hanging="3600"/>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ab/>
      </w:r>
      <w:r>
        <w:rPr>
          <w:rFonts w:ascii="Times New Roman" w:hAnsi="Times New Roman" w:cs="Times New Roman"/>
          <w:color w:val="000000"/>
          <w:sz w:val="20"/>
          <w:szCs w:val="20"/>
        </w:rPr>
        <w:tab/>
      </w:r>
      <w:r w:rsidRPr="000B71C7">
        <w:rPr>
          <w:rFonts w:ascii="Times New Roman" w:hAnsi="Times New Roman" w:cs="Times New Roman"/>
          <w:color w:val="000000"/>
          <w:sz w:val="20"/>
          <w:szCs w:val="20"/>
        </w:rPr>
        <w:t xml:space="preserve">For the avoidance of doubt, any MTM Amount shall be payable on the relevant Floating Rate Payer </w:t>
      </w:r>
      <w:r>
        <w:rPr>
          <w:rFonts w:ascii="Times New Roman" w:hAnsi="Times New Roman" w:cs="Times New Roman"/>
          <w:color w:val="000000"/>
          <w:sz w:val="20"/>
          <w:szCs w:val="20"/>
        </w:rPr>
        <w:t>I</w:t>
      </w:r>
      <w:r w:rsidRPr="000B71C7">
        <w:rPr>
          <w:rFonts w:ascii="Times New Roman" w:hAnsi="Times New Roman" w:cs="Times New Roman"/>
          <w:color w:val="000000"/>
          <w:sz w:val="20"/>
          <w:szCs w:val="20"/>
        </w:rPr>
        <w:t xml:space="preserve"> </w:t>
      </w:r>
      <w:r w:rsidR="00A4006F">
        <w:rPr>
          <w:rFonts w:ascii="Times New Roman" w:hAnsi="Times New Roman" w:cs="Times New Roman"/>
          <w:color w:val="000000"/>
          <w:sz w:val="20"/>
          <w:szCs w:val="20"/>
        </w:rPr>
        <w:t>Period End</w:t>
      </w:r>
      <w:r w:rsidR="00A4006F" w:rsidRPr="000B71C7">
        <w:rPr>
          <w:rFonts w:ascii="Times New Roman" w:hAnsi="Times New Roman" w:cs="Times New Roman"/>
          <w:color w:val="000000"/>
          <w:sz w:val="20"/>
          <w:szCs w:val="20"/>
        </w:rPr>
        <w:t xml:space="preserve"> </w:t>
      </w:r>
      <w:r w:rsidRPr="000B71C7">
        <w:rPr>
          <w:rFonts w:ascii="Times New Roman" w:hAnsi="Times New Roman" w:cs="Times New Roman"/>
          <w:color w:val="000000"/>
          <w:sz w:val="20"/>
          <w:szCs w:val="20"/>
        </w:rPr>
        <w:t>Date.</w:t>
      </w:r>
    </w:p>
    <w:p w14:paraId="0B2268A2" w14:textId="225BAC98" w:rsidR="005A496B" w:rsidRDefault="000B71C7" w:rsidP="005A496B">
      <w:pPr>
        <w:tabs>
          <w:tab w:val="left" w:pos="4320"/>
        </w:tabs>
        <w:ind w:left="5040" w:hanging="4320"/>
        <w:jc w:val="both"/>
        <w:rPr>
          <w:rFonts w:ascii="Times New Roman" w:hAnsi="Times New Roman" w:cs="Times New Roman"/>
          <w:color w:val="000000"/>
          <w:sz w:val="20"/>
          <w:szCs w:val="20"/>
        </w:rPr>
      </w:pPr>
      <w:r w:rsidRPr="000B71C7">
        <w:rPr>
          <w:rFonts w:ascii="Times New Roman" w:hAnsi="Times New Roman" w:cs="Times New Roman"/>
          <w:color w:val="000000"/>
          <w:sz w:val="20"/>
          <w:szCs w:val="20"/>
        </w:rPr>
        <w:t>Currency Exchange Rate Fixing Date:</w:t>
      </w:r>
      <w:r w:rsidRPr="000B71C7">
        <w:rPr>
          <w:rFonts w:ascii="Times New Roman" w:hAnsi="Times New Roman" w:cs="Times New Roman"/>
          <w:color w:val="000000"/>
          <w:sz w:val="20"/>
          <w:szCs w:val="20"/>
        </w:rPr>
        <w:tab/>
      </w:r>
      <w:r w:rsidRPr="000B71C7">
        <w:rPr>
          <w:rFonts w:ascii="Times New Roman" w:hAnsi="Times New Roman" w:cs="Times New Roman"/>
          <w:color w:val="000000"/>
          <w:sz w:val="20"/>
          <w:szCs w:val="20"/>
        </w:rPr>
        <w:tab/>
      </w:r>
      <w:r w:rsidR="00344979">
        <w:rPr>
          <w:rFonts w:ascii="Times New Roman" w:hAnsi="Times New Roman" w:cs="Times New Roman"/>
          <w:color w:val="000000"/>
          <w:sz w:val="20"/>
          <w:szCs w:val="20"/>
        </w:rPr>
        <w:t>One</w:t>
      </w:r>
      <w:r w:rsidR="00344979" w:rsidRPr="00C25586">
        <w:rPr>
          <w:rFonts w:ascii="Times New Roman" w:hAnsi="Times New Roman" w:cs="Times New Roman"/>
          <w:color w:val="000000"/>
          <w:sz w:val="20"/>
          <w:szCs w:val="20"/>
        </w:rPr>
        <w:t xml:space="preserve"> </w:t>
      </w:r>
      <w:r w:rsidRPr="00C25586">
        <w:rPr>
          <w:rFonts w:ascii="Times New Roman" w:hAnsi="Times New Roman" w:cs="Times New Roman"/>
          <w:color w:val="000000"/>
          <w:sz w:val="20"/>
          <w:szCs w:val="20"/>
        </w:rPr>
        <w:t>Business Day</w:t>
      </w:r>
      <w:r w:rsidRPr="000B71C7">
        <w:rPr>
          <w:rFonts w:ascii="Times New Roman" w:hAnsi="Times New Roman" w:cs="Times New Roman"/>
          <w:color w:val="000000"/>
          <w:sz w:val="20"/>
          <w:szCs w:val="20"/>
        </w:rPr>
        <w:t xml:space="preserve"> preceding the Floating Rate Payer </w:t>
      </w:r>
      <w:r>
        <w:rPr>
          <w:rFonts w:ascii="Times New Roman" w:hAnsi="Times New Roman" w:cs="Times New Roman"/>
          <w:color w:val="000000"/>
          <w:sz w:val="20"/>
          <w:szCs w:val="20"/>
        </w:rPr>
        <w:t>I</w:t>
      </w:r>
      <w:r w:rsidRPr="000B71C7">
        <w:rPr>
          <w:rFonts w:ascii="Times New Roman" w:hAnsi="Times New Roman" w:cs="Times New Roman"/>
          <w:color w:val="000000"/>
          <w:sz w:val="20"/>
          <w:szCs w:val="20"/>
        </w:rPr>
        <w:t xml:space="preserve"> Payment Date relating to the relevant Calculation Period.</w:t>
      </w:r>
    </w:p>
    <w:p w14:paraId="71350127" w14:textId="4FFC4330" w:rsidR="005A496B" w:rsidRDefault="005A496B" w:rsidP="005A496B">
      <w:pPr>
        <w:ind w:left="5040" w:hanging="4320"/>
        <w:jc w:val="both"/>
        <w:rPr>
          <w:rFonts w:ascii="Times New Roman" w:hAnsi="Times New Roman"/>
          <w:color w:val="000000"/>
          <w:sz w:val="20"/>
        </w:rPr>
      </w:pPr>
      <w:r>
        <w:rPr>
          <w:rFonts w:ascii="Times New Roman" w:hAnsi="Times New Roman"/>
          <w:color w:val="000000"/>
          <w:sz w:val="20"/>
        </w:rPr>
        <w:t>Business Day:</w:t>
      </w:r>
      <w:r>
        <w:rPr>
          <w:rFonts w:ascii="Times New Roman" w:hAnsi="Times New Roman"/>
          <w:color w:val="000000"/>
          <w:sz w:val="20"/>
        </w:rPr>
        <w:tab/>
        <w:t>Means a day on which commercial banks are open (or, but for the occurrence of a Settlement Disruption Event, would have been open) for business (including dealings in foreign exchange and foreign currency deposits) in Almaty, New York City and London.</w:t>
      </w:r>
    </w:p>
    <w:p w14:paraId="197A2796" w14:textId="77777777" w:rsidR="005A496B" w:rsidRDefault="005A496B" w:rsidP="005A496B">
      <w:pPr>
        <w:ind w:left="4253" w:hanging="3533"/>
        <w:jc w:val="both"/>
        <w:rPr>
          <w:rFonts w:ascii="Times New Roman" w:hAnsi="Times New Roman"/>
          <w:color w:val="000000"/>
          <w:sz w:val="20"/>
          <w:lang w:val="en-US"/>
        </w:rPr>
      </w:pPr>
      <w:r>
        <w:rPr>
          <w:rFonts w:ascii="Times New Roman" w:hAnsi="Times New Roman"/>
          <w:color w:val="000000"/>
          <w:sz w:val="20"/>
        </w:rPr>
        <w:t>“</w:t>
      </w:r>
      <w:r>
        <w:rPr>
          <w:rFonts w:ascii="Times New Roman" w:hAnsi="Times New Roman"/>
          <w:b/>
          <w:color w:val="000000"/>
          <w:sz w:val="20"/>
        </w:rPr>
        <w:t>KZT</w:t>
      </w:r>
      <w:r>
        <w:rPr>
          <w:rFonts w:ascii="Times New Roman" w:hAnsi="Times New Roman"/>
          <w:color w:val="000000"/>
          <w:sz w:val="20"/>
        </w:rPr>
        <w:t>” and “</w:t>
      </w:r>
      <w:r>
        <w:rPr>
          <w:rFonts w:ascii="Times New Roman" w:hAnsi="Times New Roman"/>
          <w:b/>
          <w:color w:val="000000"/>
          <w:sz w:val="20"/>
        </w:rPr>
        <w:t>Kazakh Tenge</w:t>
      </w:r>
      <w:r>
        <w:rPr>
          <w:rFonts w:ascii="Times New Roman" w:hAnsi="Times New Roman"/>
          <w:color w:val="000000"/>
          <w:sz w:val="20"/>
        </w:rPr>
        <w:t>”:</w:t>
      </w:r>
      <w:r>
        <w:rPr>
          <w:rFonts w:ascii="Times New Roman" w:hAnsi="Times New Roman"/>
          <w:color w:val="000000"/>
          <w:sz w:val="20"/>
        </w:rPr>
        <w:tab/>
      </w:r>
      <w:r>
        <w:rPr>
          <w:rFonts w:ascii="Times New Roman" w:hAnsi="Times New Roman"/>
          <w:color w:val="000000"/>
          <w:sz w:val="20"/>
        </w:rPr>
        <w:tab/>
      </w:r>
      <w:r>
        <w:rPr>
          <w:rFonts w:ascii="Times New Roman" w:hAnsi="Times New Roman"/>
          <w:color w:val="000000"/>
          <w:sz w:val="20"/>
        </w:rPr>
        <w:tab/>
        <w:t>each means the lawful currency of Kazakhstan.</w:t>
      </w:r>
    </w:p>
    <w:p w14:paraId="3486610D" w14:textId="77777777" w:rsidR="005A496B" w:rsidRPr="005A496B" w:rsidRDefault="005A496B" w:rsidP="005A496B">
      <w:pPr>
        <w:tabs>
          <w:tab w:val="left" w:pos="4320"/>
        </w:tabs>
        <w:ind w:left="5040" w:hanging="4320"/>
        <w:jc w:val="both"/>
        <w:rPr>
          <w:rFonts w:ascii="Times New Roman" w:hAnsi="Times New Roman" w:cs="Times New Roman"/>
          <w:color w:val="000000"/>
          <w:sz w:val="20"/>
          <w:szCs w:val="20"/>
          <w:lang w:val="en-US"/>
        </w:rPr>
      </w:pPr>
    </w:p>
    <w:p w14:paraId="051EBC7F" w14:textId="41FD1AB8" w:rsidR="001F2BF4" w:rsidRPr="001F2BF4" w:rsidRDefault="00AE1DA1" w:rsidP="00AE1DA1">
      <w:pPr>
        <w:spacing w:after="0"/>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2. </w:t>
      </w:r>
      <w:r w:rsidR="001F2BF4" w:rsidRPr="001F2BF4">
        <w:rPr>
          <w:rFonts w:ascii="Times New Roman" w:hAnsi="Times New Roman" w:cs="Times New Roman"/>
          <w:b/>
          <w:bCs/>
          <w:color w:val="000000"/>
          <w:sz w:val="20"/>
          <w:szCs w:val="20"/>
        </w:rPr>
        <w:t xml:space="preserve">Floating Amounts </w:t>
      </w:r>
      <w:r w:rsidR="001F2BF4">
        <w:rPr>
          <w:rFonts w:ascii="Times New Roman" w:hAnsi="Times New Roman" w:cs="Times New Roman"/>
          <w:b/>
          <w:bCs/>
          <w:color w:val="000000"/>
          <w:sz w:val="20"/>
          <w:szCs w:val="20"/>
        </w:rPr>
        <w:t>I</w:t>
      </w:r>
      <w:r w:rsidR="001F2BF4" w:rsidRPr="001F2BF4">
        <w:rPr>
          <w:rFonts w:ascii="Times New Roman" w:hAnsi="Times New Roman" w:cs="Times New Roman"/>
          <w:b/>
          <w:bCs/>
          <w:color w:val="000000"/>
          <w:sz w:val="20"/>
          <w:szCs w:val="20"/>
        </w:rPr>
        <w:t>:</w:t>
      </w:r>
      <w:r w:rsidR="001F2BF4" w:rsidRPr="001F2BF4">
        <w:rPr>
          <w:rFonts w:ascii="Times New Roman" w:hAnsi="Times New Roman" w:cs="Times New Roman"/>
          <w:b/>
          <w:bCs/>
          <w:color w:val="000000"/>
          <w:sz w:val="20"/>
          <w:szCs w:val="20"/>
        </w:rPr>
        <w:tab/>
      </w:r>
    </w:p>
    <w:p w14:paraId="073208BD" w14:textId="77777777" w:rsidR="001F2BF4" w:rsidRPr="001F2BF4" w:rsidRDefault="001F2BF4" w:rsidP="001F2BF4">
      <w:pPr>
        <w:spacing w:after="0"/>
        <w:ind w:left="4320" w:hanging="3600"/>
        <w:jc w:val="both"/>
        <w:rPr>
          <w:rFonts w:ascii="Times New Roman" w:hAnsi="Times New Roman" w:cs="Times New Roman"/>
          <w:color w:val="000000"/>
          <w:sz w:val="20"/>
          <w:szCs w:val="20"/>
        </w:rPr>
      </w:pPr>
    </w:p>
    <w:p w14:paraId="258601C5" w14:textId="6C712145" w:rsidR="001F2BF4" w:rsidRDefault="001F2BF4" w:rsidP="001F2BF4">
      <w:pPr>
        <w:spacing w:after="0"/>
        <w:ind w:left="4320" w:hanging="3600"/>
        <w:jc w:val="both"/>
        <w:rPr>
          <w:rFonts w:ascii="Times New Roman" w:hAnsi="Times New Roman" w:cs="Times New Roman"/>
          <w:color w:val="000000"/>
          <w:sz w:val="20"/>
          <w:szCs w:val="20"/>
        </w:rPr>
      </w:pPr>
      <w:r w:rsidRPr="001F2BF4">
        <w:rPr>
          <w:rFonts w:ascii="Times New Roman" w:hAnsi="Times New Roman" w:cs="Times New Roman"/>
          <w:color w:val="000000"/>
          <w:sz w:val="20"/>
          <w:szCs w:val="20"/>
        </w:rPr>
        <w:t xml:space="preserve">Floating Rate </w:t>
      </w:r>
      <w:r>
        <w:rPr>
          <w:rFonts w:ascii="Times New Roman" w:hAnsi="Times New Roman" w:cs="Times New Roman"/>
          <w:color w:val="000000"/>
          <w:sz w:val="20"/>
          <w:szCs w:val="20"/>
        </w:rPr>
        <w:t xml:space="preserve">I </w:t>
      </w:r>
      <w:r w:rsidRPr="001F2BF4">
        <w:rPr>
          <w:rFonts w:ascii="Times New Roman" w:hAnsi="Times New Roman" w:cs="Times New Roman"/>
          <w:color w:val="000000"/>
          <w:sz w:val="20"/>
          <w:szCs w:val="20"/>
        </w:rPr>
        <w:t>Payer:</w:t>
      </w:r>
      <w:r w:rsidRPr="001F2BF4">
        <w:rPr>
          <w:rFonts w:ascii="Times New Roman" w:hAnsi="Times New Roman" w:cs="Times New Roman"/>
          <w:color w:val="000000"/>
          <w:sz w:val="20"/>
          <w:szCs w:val="20"/>
        </w:rPr>
        <w:tab/>
      </w:r>
      <w:r w:rsidR="00012DDE">
        <w:rPr>
          <w:rFonts w:ascii="Times New Roman" w:hAnsi="Times New Roman" w:cs="Times New Roman"/>
          <w:color w:val="000000"/>
          <w:sz w:val="20"/>
          <w:szCs w:val="20"/>
        </w:rPr>
        <w:t>[</w:t>
      </w:r>
      <w:r>
        <w:rPr>
          <w:rFonts w:ascii="Times New Roman" w:hAnsi="Times New Roman" w:cs="Times New Roman"/>
          <w:color w:val="000000"/>
          <w:sz w:val="20"/>
          <w:szCs w:val="20"/>
        </w:rPr>
        <w:t>Party B</w:t>
      </w:r>
      <w:r w:rsidR="00012DDE">
        <w:rPr>
          <w:rFonts w:ascii="Times New Roman" w:hAnsi="Times New Roman" w:cs="Times New Roman"/>
          <w:color w:val="000000"/>
          <w:sz w:val="20"/>
          <w:szCs w:val="20"/>
        </w:rPr>
        <w:t>]</w:t>
      </w:r>
    </w:p>
    <w:p w14:paraId="3AD24201" w14:textId="77777777" w:rsidR="001F2BF4" w:rsidRPr="001F2BF4" w:rsidRDefault="001F2BF4" w:rsidP="001F2BF4">
      <w:pPr>
        <w:spacing w:after="0"/>
        <w:ind w:left="4320" w:hanging="3600"/>
        <w:jc w:val="both"/>
        <w:rPr>
          <w:rFonts w:ascii="Times New Roman" w:hAnsi="Times New Roman" w:cs="Times New Roman"/>
          <w:color w:val="000000"/>
          <w:sz w:val="20"/>
          <w:szCs w:val="20"/>
        </w:rPr>
      </w:pPr>
    </w:p>
    <w:p w14:paraId="67860CBA" w14:textId="62550D4C" w:rsidR="001F2BF4" w:rsidRPr="00F34A29" w:rsidRDefault="000F7BBA" w:rsidP="001F2BF4">
      <w:pPr>
        <w:spacing w:after="0"/>
        <w:ind w:left="4320" w:hanging="3600"/>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Floa</w:t>
      </w:r>
      <w:r>
        <w:rPr>
          <w:rFonts w:ascii="Times New Roman" w:hAnsi="Times New Roman" w:cs="Times New Roman"/>
          <w:color w:val="000000"/>
          <w:sz w:val="20"/>
          <w:szCs w:val="20"/>
        </w:rPr>
        <w:t xml:space="preserve">ting </w:t>
      </w:r>
      <w:r w:rsidR="00EA7DEC">
        <w:rPr>
          <w:rFonts w:ascii="Times New Roman" w:hAnsi="Times New Roman" w:cs="Times New Roman"/>
          <w:color w:val="000000"/>
          <w:sz w:val="20"/>
          <w:szCs w:val="20"/>
        </w:rPr>
        <w:t>Rate</w:t>
      </w:r>
      <w:r>
        <w:rPr>
          <w:rFonts w:ascii="Times New Roman" w:hAnsi="Times New Roman" w:cs="Times New Roman"/>
          <w:color w:val="000000"/>
          <w:sz w:val="20"/>
          <w:szCs w:val="20"/>
        </w:rPr>
        <w:t xml:space="preserve"> </w:t>
      </w:r>
      <w:r w:rsidR="00D25379">
        <w:rPr>
          <w:rFonts w:ascii="Times New Roman" w:hAnsi="Times New Roman" w:cs="Times New Roman"/>
          <w:color w:val="000000"/>
          <w:sz w:val="20"/>
          <w:szCs w:val="20"/>
        </w:rPr>
        <w:t>I</w:t>
      </w:r>
      <w:r w:rsidRPr="00F34A29" w:rsidDel="000F7BBA">
        <w:rPr>
          <w:rFonts w:ascii="Times New Roman" w:hAnsi="Times New Roman" w:cs="Times New Roman"/>
          <w:color w:val="000000"/>
          <w:sz w:val="20"/>
          <w:szCs w:val="20"/>
        </w:rPr>
        <w:t xml:space="preserve"> </w:t>
      </w:r>
      <w:r w:rsidR="00EA7DEC">
        <w:rPr>
          <w:rFonts w:ascii="Times New Roman" w:hAnsi="Times New Roman" w:cs="Times New Roman"/>
          <w:color w:val="000000"/>
          <w:sz w:val="20"/>
          <w:szCs w:val="20"/>
        </w:rPr>
        <w:t xml:space="preserve">Payer </w:t>
      </w:r>
      <w:r>
        <w:rPr>
          <w:rFonts w:ascii="Times New Roman" w:hAnsi="Times New Roman" w:cs="Times New Roman"/>
          <w:color w:val="000000"/>
          <w:sz w:val="20"/>
          <w:szCs w:val="20"/>
        </w:rPr>
        <w:t xml:space="preserve">Currency </w:t>
      </w:r>
      <w:r w:rsidR="001F2BF4" w:rsidRPr="00F34A29">
        <w:rPr>
          <w:rFonts w:ascii="Times New Roman" w:hAnsi="Times New Roman" w:cs="Times New Roman"/>
          <w:color w:val="000000"/>
          <w:sz w:val="20"/>
          <w:szCs w:val="20"/>
        </w:rPr>
        <w:t>Amount:</w:t>
      </w:r>
      <w:r w:rsidR="001F2BF4" w:rsidRPr="00F34A29">
        <w:rPr>
          <w:rFonts w:ascii="Times New Roman" w:hAnsi="Times New Roman" w:cs="Times New Roman"/>
          <w:color w:val="000000"/>
          <w:sz w:val="20"/>
          <w:szCs w:val="20"/>
        </w:rPr>
        <w:tab/>
      </w:r>
      <w:r w:rsidR="00F778EB" w:rsidRPr="00F778EB">
        <w:rPr>
          <w:rFonts w:ascii="Times New Roman" w:hAnsi="Times New Roman" w:cs="Times New Roman"/>
          <w:color w:val="000000"/>
          <w:sz w:val="20"/>
          <w:szCs w:val="20"/>
        </w:rPr>
        <w:t xml:space="preserve">For each Calculation Period, the applicable Variable Currency Amount determined for such Calculation Period. For the first Calculation Period, the Floating Rate Payer </w:t>
      </w:r>
      <w:r w:rsidR="00F778EB">
        <w:rPr>
          <w:rFonts w:ascii="Times New Roman" w:hAnsi="Times New Roman" w:cs="Times New Roman"/>
          <w:color w:val="000000"/>
          <w:sz w:val="20"/>
          <w:szCs w:val="20"/>
        </w:rPr>
        <w:t>I</w:t>
      </w:r>
      <w:r w:rsidR="00F778EB" w:rsidRPr="00F778EB">
        <w:rPr>
          <w:rFonts w:ascii="Times New Roman" w:hAnsi="Times New Roman" w:cs="Times New Roman"/>
          <w:color w:val="000000"/>
          <w:sz w:val="20"/>
          <w:szCs w:val="20"/>
        </w:rPr>
        <w:t xml:space="preserve"> Currency Amount shall be USD [•].</w:t>
      </w:r>
    </w:p>
    <w:p w14:paraId="542AC9AE" w14:textId="77777777" w:rsidR="00D00847" w:rsidRPr="00F34A29" w:rsidRDefault="00D00847" w:rsidP="001F2BF4">
      <w:pPr>
        <w:spacing w:after="0"/>
        <w:ind w:left="4320" w:hanging="3600"/>
        <w:jc w:val="both"/>
        <w:rPr>
          <w:rFonts w:ascii="Times New Roman" w:hAnsi="Times New Roman" w:cs="Times New Roman"/>
          <w:color w:val="000000"/>
          <w:sz w:val="20"/>
          <w:szCs w:val="20"/>
        </w:rPr>
      </w:pPr>
    </w:p>
    <w:p w14:paraId="08880B3B" w14:textId="0F08BFB2" w:rsidR="00D00847" w:rsidRPr="00F34A29" w:rsidRDefault="007524FA" w:rsidP="00D00847">
      <w:pPr>
        <w:spacing w:after="0"/>
        <w:ind w:left="4320" w:hanging="3600"/>
        <w:jc w:val="both"/>
        <w:rPr>
          <w:rFonts w:ascii="Times New Roman" w:hAnsi="Times New Roman" w:cs="Times New Roman"/>
          <w:color w:val="000000"/>
          <w:sz w:val="20"/>
          <w:szCs w:val="20"/>
        </w:rPr>
      </w:pPr>
      <w:r>
        <w:rPr>
          <w:rFonts w:ascii="Times New Roman" w:hAnsi="Times New Roman" w:cs="Times New Roman"/>
          <w:color w:val="000000"/>
          <w:sz w:val="20"/>
          <w:szCs w:val="20"/>
        </w:rPr>
        <w:t>Floating Rate</w:t>
      </w:r>
      <w:r w:rsidR="00D00847" w:rsidRPr="00F34A29">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I </w:t>
      </w:r>
      <w:r w:rsidR="00D00847" w:rsidRPr="00F34A29">
        <w:rPr>
          <w:rFonts w:ascii="Times New Roman" w:hAnsi="Times New Roman" w:cs="Times New Roman"/>
          <w:color w:val="000000"/>
          <w:sz w:val="20"/>
          <w:szCs w:val="20"/>
        </w:rPr>
        <w:t>Payer</w:t>
      </w:r>
    </w:p>
    <w:p w14:paraId="2CA56607" w14:textId="31F8F56C" w:rsidR="000B71C7" w:rsidRDefault="00796766" w:rsidP="000B71C7">
      <w:pPr>
        <w:spacing w:after="0"/>
        <w:ind w:left="4320" w:hanging="36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Period End </w:t>
      </w:r>
      <w:r w:rsidR="009E4ED0">
        <w:rPr>
          <w:rFonts w:ascii="Times New Roman" w:hAnsi="Times New Roman" w:cs="Times New Roman"/>
          <w:color w:val="000000"/>
          <w:sz w:val="20"/>
          <w:szCs w:val="20"/>
        </w:rPr>
        <w:t>Dates:</w:t>
      </w:r>
      <w:r w:rsidR="009E4ED0">
        <w:rPr>
          <w:rFonts w:ascii="Times New Roman" w:hAnsi="Times New Roman" w:cs="Times New Roman"/>
          <w:color w:val="000000"/>
          <w:sz w:val="20"/>
          <w:szCs w:val="20"/>
        </w:rPr>
        <w:tab/>
      </w:r>
      <w:bookmarkStart w:id="1" w:name="_Hlk146269001"/>
      <w:r w:rsidR="00012DDE" w:rsidRPr="00D42EAD">
        <w:rPr>
          <w:rFonts w:ascii="Times New Roman" w:hAnsi="Times New Roman" w:cs="Times New Roman"/>
          <w:color w:val="000000"/>
          <w:sz w:val="20"/>
          <w:szCs w:val="20"/>
        </w:rPr>
        <w:t>Each of [•], [•], [•] and [•] in each year, commencing on and including [•]</w:t>
      </w:r>
      <w:bookmarkEnd w:id="1"/>
      <w:r w:rsidR="00012DDE" w:rsidRPr="00D42EAD">
        <w:rPr>
          <w:rFonts w:ascii="Times New Roman" w:hAnsi="Times New Roman" w:cs="Times New Roman"/>
          <w:color w:val="000000"/>
          <w:sz w:val="20"/>
          <w:szCs w:val="20"/>
        </w:rPr>
        <w:t xml:space="preserve">, </w:t>
      </w:r>
      <w:r w:rsidR="000B71C7">
        <w:rPr>
          <w:rFonts w:ascii="Times New Roman" w:hAnsi="Times New Roman" w:cs="Times New Roman"/>
          <w:color w:val="000000"/>
          <w:sz w:val="20"/>
          <w:szCs w:val="20"/>
        </w:rPr>
        <w:t>up to</w:t>
      </w:r>
      <w:r w:rsidR="00012DDE" w:rsidRPr="00D42EAD">
        <w:rPr>
          <w:rFonts w:ascii="Times New Roman" w:hAnsi="Times New Roman" w:cs="Times New Roman"/>
          <w:color w:val="000000"/>
          <w:sz w:val="20"/>
          <w:szCs w:val="20"/>
        </w:rPr>
        <w:t xml:space="preserve"> </w:t>
      </w:r>
      <w:r w:rsidR="00012DDE" w:rsidRPr="00F34A29">
        <w:rPr>
          <w:rFonts w:ascii="Times New Roman" w:hAnsi="Times New Roman" w:cs="Times New Roman"/>
          <w:color w:val="000000"/>
          <w:sz w:val="20"/>
          <w:szCs w:val="20"/>
        </w:rPr>
        <w:t>and including the Termination Date</w:t>
      </w:r>
      <w:r w:rsidR="00012DDE">
        <w:rPr>
          <w:rFonts w:ascii="Times New Roman" w:hAnsi="Times New Roman" w:cs="Times New Roman"/>
          <w:color w:val="000000"/>
          <w:sz w:val="20"/>
          <w:szCs w:val="20"/>
        </w:rPr>
        <w:t xml:space="preserve">, </w:t>
      </w:r>
      <w:r w:rsidR="00D00847" w:rsidRPr="00F34A29">
        <w:rPr>
          <w:rFonts w:ascii="Times New Roman" w:hAnsi="Times New Roman" w:cs="Times New Roman"/>
          <w:color w:val="000000"/>
          <w:sz w:val="20"/>
          <w:szCs w:val="20"/>
        </w:rPr>
        <w:t>subject to adjustment in accordance with the Modified Following Business Day Convention</w:t>
      </w:r>
      <w:r w:rsidR="000B71C7" w:rsidRPr="000B71C7">
        <w:t xml:space="preserve"> </w:t>
      </w:r>
      <w:r w:rsidR="000B71C7" w:rsidRPr="000B71C7">
        <w:rPr>
          <w:rFonts w:ascii="Times New Roman" w:hAnsi="Times New Roman" w:cs="Times New Roman"/>
          <w:color w:val="000000"/>
          <w:sz w:val="20"/>
          <w:szCs w:val="20"/>
        </w:rPr>
        <w:t>set out in the Annex hereto.</w:t>
      </w:r>
    </w:p>
    <w:p w14:paraId="1DC16F91" w14:textId="77777777" w:rsidR="00D00847" w:rsidRPr="00F34A29" w:rsidRDefault="00D00847" w:rsidP="00D00847">
      <w:pPr>
        <w:pStyle w:val="a7"/>
        <w:jc w:val="both"/>
        <w:rPr>
          <w:color w:val="000000"/>
          <w:sz w:val="20"/>
        </w:rPr>
      </w:pPr>
    </w:p>
    <w:p w14:paraId="07CE5C09" w14:textId="77777777" w:rsidR="00796766" w:rsidRDefault="00796766" w:rsidP="00796766">
      <w:pPr>
        <w:spacing w:after="0"/>
        <w:ind w:left="4320" w:hanging="3600"/>
        <w:jc w:val="both"/>
        <w:rPr>
          <w:rFonts w:ascii="Times New Roman" w:hAnsi="Times New Roman" w:cs="Times New Roman"/>
          <w:color w:val="000000"/>
          <w:sz w:val="20"/>
          <w:szCs w:val="20"/>
        </w:rPr>
      </w:pPr>
      <w:r>
        <w:rPr>
          <w:rFonts w:ascii="Times New Roman" w:hAnsi="Times New Roman" w:cs="Times New Roman"/>
          <w:color w:val="000000"/>
          <w:sz w:val="20"/>
          <w:szCs w:val="20"/>
        </w:rPr>
        <w:t>Floating Rate I Payer</w:t>
      </w:r>
    </w:p>
    <w:p w14:paraId="12AD7A9F" w14:textId="62236863" w:rsidR="00796766" w:rsidRDefault="00796766" w:rsidP="00796766">
      <w:pPr>
        <w:spacing w:after="0"/>
        <w:ind w:left="4320" w:hanging="3600"/>
        <w:jc w:val="both"/>
        <w:rPr>
          <w:rFonts w:ascii="Times New Roman" w:hAnsi="Times New Roman" w:cs="Times New Roman"/>
          <w:color w:val="000000"/>
          <w:sz w:val="20"/>
          <w:szCs w:val="20"/>
        </w:rPr>
      </w:pPr>
      <w:r>
        <w:rPr>
          <w:rFonts w:ascii="Times New Roman" w:hAnsi="Times New Roman" w:cs="Times New Roman"/>
          <w:color w:val="000000"/>
          <w:sz w:val="20"/>
          <w:szCs w:val="20"/>
        </w:rPr>
        <w:t>Payment Dates:</w:t>
      </w:r>
      <w:r>
        <w:rPr>
          <w:rFonts w:ascii="Times New Roman" w:hAnsi="Times New Roman" w:cs="Times New Roman"/>
          <w:color w:val="000000"/>
          <w:sz w:val="20"/>
          <w:szCs w:val="20"/>
        </w:rPr>
        <w:tab/>
        <w:t>Each day falling one Business Day after each Floating Rate I Payer Period End Date.</w:t>
      </w:r>
    </w:p>
    <w:p w14:paraId="763C8B02" w14:textId="77777777" w:rsidR="00796766" w:rsidRDefault="00796766" w:rsidP="00D00847">
      <w:pPr>
        <w:tabs>
          <w:tab w:val="left" w:pos="4320"/>
        </w:tabs>
        <w:ind w:left="720"/>
        <w:jc w:val="both"/>
        <w:rPr>
          <w:rFonts w:ascii="Times New Roman" w:hAnsi="Times New Roman" w:cs="Times New Roman"/>
          <w:color w:val="000000"/>
          <w:sz w:val="20"/>
          <w:szCs w:val="20"/>
        </w:rPr>
      </w:pPr>
    </w:p>
    <w:p w14:paraId="0FC74653" w14:textId="2CA86CCB" w:rsidR="00D00847" w:rsidRPr="00F34A29" w:rsidRDefault="00C60B8E" w:rsidP="00D00847">
      <w:pPr>
        <w:tabs>
          <w:tab w:val="left" w:pos="4320"/>
        </w:tabs>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Floating Rate I</w:t>
      </w:r>
      <w:r w:rsidR="000B78D7">
        <w:rPr>
          <w:rFonts w:ascii="Times New Roman" w:hAnsi="Times New Roman" w:cs="Times New Roman"/>
          <w:color w:val="000000"/>
          <w:sz w:val="20"/>
          <w:szCs w:val="20"/>
        </w:rPr>
        <w:t xml:space="preserve"> </w:t>
      </w:r>
      <w:r>
        <w:rPr>
          <w:rFonts w:ascii="Times New Roman" w:hAnsi="Times New Roman" w:cs="Times New Roman"/>
          <w:color w:val="000000"/>
          <w:sz w:val="20"/>
          <w:szCs w:val="20"/>
        </w:rPr>
        <w:t>Option</w:t>
      </w:r>
      <w:r w:rsidR="002B21CE">
        <w:rPr>
          <w:rFonts w:ascii="Times New Roman" w:hAnsi="Times New Roman" w:cs="Times New Roman"/>
          <w:color w:val="000000"/>
          <w:sz w:val="20"/>
          <w:szCs w:val="20"/>
        </w:rPr>
        <w:t>:</w:t>
      </w:r>
      <w:r w:rsidR="002B21CE">
        <w:rPr>
          <w:rFonts w:ascii="Times New Roman" w:hAnsi="Times New Roman" w:cs="Times New Roman"/>
          <w:color w:val="000000"/>
          <w:sz w:val="20"/>
          <w:szCs w:val="20"/>
        </w:rPr>
        <w:tab/>
      </w:r>
      <w:r w:rsidR="00347827" w:rsidRPr="00347827">
        <w:rPr>
          <w:rFonts w:ascii="Times New Roman" w:hAnsi="Times New Roman" w:cs="Times New Roman"/>
          <w:color w:val="000000"/>
          <w:sz w:val="20"/>
          <w:szCs w:val="20"/>
        </w:rPr>
        <w:t>USD-SOFR-</w:t>
      </w:r>
      <w:r w:rsidR="007E2CBE">
        <w:rPr>
          <w:rFonts w:ascii="Times New Roman" w:hAnsi="Times New Roman" w:cs="Times New Roman"/>
          <w:color w:val="000000"/>
          <w:sz w:val="20"/>
          <w:szCs w:val="20"/>
        </w:rPr>
        <w:t>OIS-</w:t>
      </w:r>
      <w:r w:rsidR="00347827" w:rsidRPr="00347827">
        <w:rPr>
          <w:rFonts w:ascii="Times New Roman" w:hAnsi="Times New Roman" w:cs="Times New Roman"/>
          <w:color w:val="000000"/>
          <w:sz w:val="20"/>
          <w:szCs w:val="20"/>
        </w:rPr>
        <w:t>COMPOUND</w:t>
      </w:r>
    </w:p>
    <w:p w14:paraId="6610DF1C" w14:textId="1D20F98A" w:rsidR="00D25379" w:rsidRDefault="00D25379" w:rsidP="00D00847">
      <w:pPr>
        <w:tabs>
          <w:tab w:val="left" w:pos="4320"/>
        </w:tabs>
        <w:spacing w:after="0"/>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Spread:</w:t>
      </w:r>
      <w:r>
        <w:rPr>
          <w:rFonts w:ascii="Times New Roman" w:hAnsi="Times New Roman" w:cs="Times New Roman"/>
          <w:color w:val="000000"/>
          <w:sz w:val="20"/>
          <w:szCs w:val="20"/>
        </w:rPr>
        <w:tab/>
      </w:r>
      <w:r w:rsidR="00012DDE" w:rsidRPr="006979A8">
        <w:rPr>
          <w:rFonts w:ascii="Times New Roman" w:hAnsi="Times New Roman" w:cs="Times New Roman"/>
          <w:color w:val="000000"/>
          <w:sz w:val="20"/>
          <w:szCs w:val="20"/>
        </w:rPr>
        <w:t>[Plus/Minus</w:t>
      </w:r>
      <w:r w:rsidR="00F778EB">
        <w:rPr>
          <w:rFonts w:ascii="Times New Roman" w:hAnsi="Times New Roman" w:cs="Times New Roman"/>
          <w:color w:val="000000"/>
          <w:sz w:val="20"/>
          <w:szCs w:val="20"/>
        </w:rPr>
        <w:t xml:space="preserve"> </w:t>
      </w:r>
      <w:proofErr w:type="gramStart"/>
      <w:r w:rsidR="00F778EB">
        <w:rPr>
          <w:rFonts w:ascii="Times New Roman" w:hAnsi="Times New Roman" w:cs="Times New Roman"/>
          <w:color w:val="000000"/>
          <w:sz w:val="20"/>
          <w:szCs w:val="20"/>
        </w:rPr>
        <w:t>[ ]</w:t>
      </w:r>
      <w:proofErr w:type="gramEnd"/>
      <w:r w:rsidR="00012DDE" w:rsidRPr="006979A8">
        <w:rPr>
          <w:rFonts w:ascii="Times New Roman" w:hAnsi="Times New Roman" w:cs="Times New Roman"/>
          <w:color w:val="000000"/>
          <w:sz w:val="20"/>
          <w:szCs w:val="20"/>
        </w:rPr>
        <w:t xml:space="preserve"> %] [None]</w:t>
      </w:r>
    </w:p>
    <w:p w14:paraId="450FE44F" w14:textId="77777777" w:rsidR="00D25379" w:rsidRDefault="00D25379" w:rsidP="00D00847">
      <w:pPr>
        <w:tabs>
          <w:tab w:val="left" w:pos="4320"/>
        </w:tabs>
        <w:spacing w:after="0"/>
        <w:ind w:left="720"/>
        <w:jc w:val="both"/>
        <w:rPr>
          <w:rFonts w:ascii="Times New Roman" w:hAnsi="Times New Roman" w:cs="Times New Roman"/>
          <w:color w:val="000000"/>
          <w:sz w:val="20"/>
          <w:szCs w:val="20"/>
        </w:rPr>
      </w:pPr>
    </w:p>
    <w:p w14:paraId="6AE1A70E" w14:textId="555FDE12" w:rsidR="00D00847" w:rsidRPr="00F34A29" w:rsidRDefault="00EA7DEC" w:rsidP="00D00847">
      <w:pPr>
        <w:tabs>
          <w:tab w:val="left" w:pos="4320"/>
        </w:tabs>
        <w:spacing w:after="0"/>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Floating Rate I </w:t>
      </w:r>
      <w:r w:rsidR="00D00847" w:rsidRPr="00F34A29">
        <w:rPr>
          <w:rFonts w:ascii="Times New Roman" w:hAnsi="Times New Roman" w:cs="Times New Roman"/>
          <w:color w:val="000000"/>
          <w:sz w:val="20"/>
          <w:szCs w:val="20"/>
        </w:rPr>
        <w:t>Day</w:t>
      </w:r>
    </w:p>
    <w:p w14:paraId="04D506E8" w14:textId="77777777" w:rsidR="007E43AD" w:rsidRDefault="00D00847" w:rsidP="007E43AD">
      <w:pPr>
        <w:tabs>
          <w:tab w:val="left" w:pos="4320"/>
        </w:tabs>
        <w:spacing w:after="0"/>
        <w:ind w:left="720"/>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Count Fraction:</w:t>
      </w:r>
      <w:r w:rsidRPr="00F34A29">
        <w:rPr>
          <w:rFonts w:ascii="Times New Roman" w:hAnsi="Times New Roman" w:cs="Times New Roman"/>
          <w:color w:val="000000"/>
          <w:sz w:val="20"/>
          <w:szCs w:val="20"/>
        </w:rPr>
        <w:tab/>
        <w:t>Act</w:t>
      </w:r>
      <w:r w:rsidR="005D7D19">
        <w:rPr>
          <w:rFonts w:ascii="Times New Roman" w:hAnsi="Times New Roman" w:cs="Times New Roman"/>
          <w:color w:val="000000"/>
          <w:sz w:val="20"/>
          <w:szCs w:val="20"/>
        </w:rPr>
        <w:t>ual</w:t>
      </w:r>
      <w:r w:rsidRPr="00F34A29">
        <w:rPr>
          <w:rFonts w:ascii="Times New Roman" w:hAnsi="Times New Roman" w:cs="Times New Roman"/>
          <w:color w:val="000000"/>
          <w:sz w:val="20"/>
          <w:szCs w:val="20"/>
        </w:rPr>
        <w:t>/36</w:t>
      </w:r>
      <w:r w:rsidR="00FA581E">
        <w:rPr>
          <w:rFonts w:ascii="Times New Roman" w:hAnsi="Times New Roman" w:cs="Times New Roman"/>
          <w:color w:val="000000"/>
          <w:sz w:val="20"/>
          <w:szCs w:val="20"/>
        </w:rPr>
        <w:t>0</w:t>
      </w:r>
    </w:p>
    <w:p w14:paraId="133A6436" w14:textId="77777777" w:rsidR="007E43AD" w:rsidRDefault="007E43AD" w:rsidP="007E43AD">
      <w:pPr>
        <w:tabs>
          <w:tab w:val="left" w:pos="4320"/>
        </w:tabs>
        <w:spacing w:after="0"/>
        <w:ind w:left="720"/>
        <w:jc w:val="both"/>
        <w:rPr>
          <w:rFonts w:ascii="Times New Roman" w:hAnsi="Times New Roman" w:cs="Times New Roman"/>
          <w:color w:val="000000"/>
          <w:sz w:val="20"/>
          <w:szCs w:val="20"/>
        </w:rPr>
      </w:pPr>
    </w:p>
    <w:p w14:paraId="48EEA281" w14:textId="3C4B5079" w:rsidR="00012DDE" w:rsidRPr="007E43AD" w:rsidRDefault="004222E8" w:rsidP="007E43AD">
      <w:pPr>
        <w:tabs>
          <w:tab w:val="left" w:pos="4320"/>
        </w:tabs>
        <w:spacing w:after="0"/>
        <w:ind w:left="4320" w:hanging="36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Floating Rate I </w:t>
      </w:r>
      <w:r w:rsidR="0011304A" w:rsidRPr="0011304A">
        <w:rPr>
          <w:rFonts w:ascii="Times New Roman" w:hAnsi="Times New Roman" w:cs="Times New Roman"/>
          <w:color w:val="000000"/>
          <w:sz w:val="20"/>
          <w:szCs w:val="20"/>
        </w:rPr>
        <w:t xml:space="preserve">Reset Dates:                          </w:t>
      </w:r>
      <w:r w:rsidR="007E43AD">
        <w:rPr>
          <w:rFonts w:ascii="Times New Roman" w:hAnsi="Times New Roman" w:cs="Times New Roman"/>
          <w:color w:val="000000"/>
          <w:sz w:val="20"/>
          <w:szCs w:val="20"/>
        </w:rPr>
        <w:tab/>
      </w:r>
      <w:r w:rsidR="00EB2218" w:rsidRPr="00EB2218">
        <w:rPr>
          <w:rFonts w:ascii="Times New Roman" w:hAnsi="Times New Roman" w:cs="Times New Roman"/>
          <w:color w:val="000000"/>
          <w:sz w:val="20"/>
          <w:szCs w:val="20"/>
        </w:rPr>
        <w:t xml:space="preserve">The </w:t>
      </w:r>
      <w:r w:rsidR="00EB2218">
        <w:rPr>
          <w:rFonts w:ascii="Times New Roman" w:hAnsi="Times New Roman" w:cs="Times New Roman"/>
          <w:color w:val="000000"/>
          <w:sz w:val="20"/>
          <w:szCs w:val="20"/>
        </w:rPr>
        <w:t>last</w:t>
      </w:r>
      <w:r w:rsidR="00EB2218" w:rsidRPr="00EB2218">
        <w:rPr>
          <w:rFonts w:ascii="Times New Roman" w:hAnsi="Times New Roman" w:cs="Times New Roman"/>
          <w:color w:val="000000"/>
          <w:sz w:val="20"/>
          <w:szCs w:val="20"/>
        </w:rPr>
        <w:t xml:space="preserve"> </w:t>
      </w:r>
      <w:proofErr w:type="gramStart"/>
      <w:r w:rsidR="00EB2218" w:rsidRPr="00EB2218">
        <w:rPr>
          <w:rFonts w:ascii="Times New Roman" w:hAnsi="Times New Roman" w:cs="Times New Roman"/>
          <w:color w:val="000000"/>
          <w:sz w:val="20"/>
          <w:szCs w:val="20"/>
        </w:rPr>
        <w:t>Business day</w:t>
      </w:r>
      <w:proofErr w:type="gramEnd"/>
      <w:r w:rsidR="00EB2218" w:rsidRPr="00EB2218">
        <w:rPr>
          <w:rFonts w:ascii="Times New Roman" w:hAnsi="Times New Roman" w:cs="Times New Roman"/>
          <w:color w:val="000000"/>
          <w:sz w:val="20"/>
          <w:szCs w:val="20"/>
        </w:rPr>
        <w:t xml:space="preserve"> in each Calculation Period </w:t>
      </w:r>
    </w:p>
    <w:p w14:paraId="44E1C902" w14:textId="3800B727" w:rsidR="0011304A" w:rsidRPr="00F34A29" w:rsidRDefault="0011304A" w:rsidP="00F4554A">
      <w:pPr>
        <w:tabs>
          <w:tab w:val="left" w:pos="2880"/>
          <w:tab w:val="left" w:pos="3600"/>
          <w:tab w:val="left" w:pos="4536"/>
        </w:tabs>
        <w:rPr>
          <w:rFonts w:ascii="Times New Roman" w:hAnsi="Times New Roman" w:cs="Times New Roman"/>
          <w:color w:val="000000"/>
          <w:sz w:val="20"/>
          <w:szCs w:val="20"/>
        </w:rPr>
      </w:pPr>
    </w:p>
    <w:p w14:paraId="694F75CF" w14:textId="7D54DFAA" w:rsidR="00D00847" w:rsidRPr="00F34A29" w:rsidRDefault="00D00847" w:rsidP="00D00847">
      <w:pPr>
        <w:tabs>
          <w:tab w:val="left" w:pos="4320"/>
        </w:tabs>
        <w:ind w:left="720"/>
        <w:jc w:val="both"/>
        <w:rPr>
          <w:rFonts w:ascii="Times New Roman" w:hAnsi="Times New Roman" w:cs="Times New Roman"/>
          <w:color w:val="000000"/>
          <w:sz w:val="20"/>
          <w:szCs w:val="20"/>
        </w:rPr>
      </w:pPr>
      <w:r w:rsidRPr="00F34A29">
        <w:rPr>
          <w:rFonts w:ascii="Times New Roman" w:hAnsi="Times New Roman" w:cs="Times New Roman"/>
          <w:sz w:val="20"/>
          <w:szCs w:val="20"/>
        </w:rPr>
        <w:t>Business</w:t>
      </w:r>
      <w:r w:rsidR="001F2BF4">
        <w:rPr>
          <w:rFonts w:ascii="Times New Roman" w:hAnsi="Times New Roman" w:cs="Times New Roman"/>
          <w:sz w:val="20"/>
          <w:szCs w:val="20"/>
        </w:rPr>
        <w:t xml:space="preserve"> Days</w:t>
      </w:r>
      <w:r w:rsidR="00347827">
        <w:rPr>
          <w:rFonts w:ascii="Times New Roman" w:hAnsi="Times New Roman" w:cs="Times New Roman"/>
          <w:sz w:val="20"/>
          <w:szCs w:val="20"/>
        </w:rPr>
        <w:t xml:space="preserve"> for Payments</w:t>
      </w:r>
      <w:r w:rsidRPr="00F34A29">
        <w:rPr>
          <w:rFonts w:ascii="Times New Roman" w:hAnsi="Times New Roman" w:cs="Times New Roman"/>
          <w:sz w:val="20"/>
          <w:szCs w:val="20"/>
        </w:rPr>
        <w:t>:</w:t>
      </w:r>
      <w:r w:rsidRPr="00F34A29">
        <w:rPr>
          <w:rFonts w:ascii="Times New Roman" w:hAnsi="Times New Roman" w:cs="Times New Roman"/>
          <w:color w:val="000000"/>
          <w:sz w:val="20"/>
          <w:szCs w:val="20"/>
        </w:rPr>
        <w:tab/>
      </w:r>
      <w:r w:rsidR="00D42EAD">
        <w:rPr>
          <w:rFonts w:ascii="Times New Roman" w:hAnsi="Times New Roman" w:cs="Times New Roman"/>
          <w:color w:val="000000"/>
          <w:sz w:val="20"/>
          <w:szCs w:val="20"/>
        </w:rPr>
        <w:t>Almaty</w:t>
      </w:r>
      <w:r w:rsidR="00C60B8E">
        <w:rPr>
          <w:rFonts w:ascii="Times New Roman" w:hAnsi="Times New Roman" w:cs="Times New Roman"/>
          <w:color w:val="000000"/>
          <w:sz w:val="20"/>
          <w:szCs w:val="20"/>
        </w:rPr>
        <w:t>, New York</w:t>
      </w:r>
    </w:p>
    <w:p w14:paraId="4047E231" w14:textId="0C25684D" w:rsidR="00FB753D" w:rsidRDefault="00347827" w:rsidP="00FB753D">
      <w:pPr>
        <w:tabs>
          <w:tab w:val="left" w:pos="2880"/>
          <w:tab w:val="left" w:pos="3600"/>
          <w:tab w:val="left" w:pos="4536"/>
        </w:tabs>
        <w:spacing w:after="0"/>
        <w:ind w:left="2880" w:hanging="288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347827">
        <w:rPr>
          <w:rFonts w:ascii="Times New Roman" w:hAnsi="Times New Roman" w:cs="Times New Roman"/>
          <w:color w:val="000000"/>
          <w:sz w:val="20"/>
          <w:szCs w:val="20"/>
        </w:rPr>
        <w:t xml:space="preserve">Business Days for </w:t>
      </w:r>
      <w:r w:rsidR="00FB753D">
        <w:rPr>
          <w:rFonts w:ascii="Times New Roman" w:hAnsi="Times New Roman" w:cs="Times New Roman"/>
          <w:color w:val="000000"/>
          <w:sz w:val="20"/>
          <w:szCs w:val="20"/>
        </w:rPr>
        <w:t>Floating Rate I</w:t>
      </w:r>
      <w:r w:rsidR="00FB753D" w:rsidRPr="00347827">
        <w:rPr>
          <w:rFonts w:ascii="Times New Roman" w:hAnsi="Times New Roman" w:cs="Times New Roman"/>
          <w:color w:val="000000"/>
          <w:sz w:val="20"/>
          <w:szCs w:val="20"/>
        </w:rPr>
        <w:t xml:space="preserve"> </w:t>
      </w:r>
    </w:p>
    <w:p w14:paraId="67DFC4D0" w14:textId="4C49AC87" w:rsidR="00347827" w:rsidRPr="00347827" w:rsidRDefault="00FB753D" w:rsidP="00FB753D">
      <w:pPr>
        <w:tabs>
          <w:tab w:val="left" w:pos="2880"/>
          <w:tab w:val="left" w:pos="3600"/>
          <w:tab w:val="left" w:pos="4536"/>
        </w:tabs>
        <w:spacing w:after="0"/>
        <w:ind w:left="2880" w:hanging="288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347827" w:rsidRPr="00347827">
        <w:rPr>
          <w:rFonts w:ascii="Times New Roman" w:hAnsi="Times New Roman" w:cs="Times New Roman"/>
          <w:color w:val="000000"/>
          <w:sz w:val="20"/>
          <w:szCs w:val="20"/>
        </w:rPr>
        <w:t>Reset Dates:</w:t>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U</w:t>
      </w:r>
      <w:r w:rsidR="00347827" w:rsidRPr="00347827">
        <w:rPr>
          <w:rFonts w:ascii="Times New Roman" w:hAnsi="Times New Roman" w:cs="Times New Roman"/>
          <w:color w:val="000000"/>
          <w:sz w:val="20"/>
          <w:szCs w:val="20"/>
        </w:rPr>
        <w:t>.S. Government Securities Business Days</w:t>
      </w:r>
    </w:p>
    <w:p w14:paraId="2867758B" w14:textId="77777777" w:rsidR="00D00847" w:rsidRDefault="00D00847" w:rsidP="00D00847">
      <w:pPr>
        <w:tabs>
          <w:tab w:val="left" w:pos="4320"/>
        </w:tabs>
        <w:ind w:left="720"/>
        <w:jc w:val="both"/>
        <w:rPr>
          <w:rFonts w:ascii="Times New Roman" w:hAnsi="Times New Roman" w:cs="Times New Roman"/>
          <w:color w:val="000000"/>
          <w:sz w:val="20"/>
          <w:szCs w:val="20"/>
        </w:rPr>
      </w:pPr>
    </w:p>
    <w:p w14:paraId="24152C31" w14:textId="5AD13E89" w:rsidR="00D00847" w:rsidRPr="00F34A29" w:rsidRDefault="00976BEC" w:rsidP="00D00847">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color w:val="000000"/>
          <w:sz w:val="20"/>
          <w:szCs w:val="20"/>
        </w:rPr>
      </w:pPr>
      <w:r>
        <w:rPr>
          <w:rFonts w:ascii="Times New Roman" w:hAnsi="Times New Roman" w:cs="Times New Roman"/>
          <w:b/>
          <w:color w:val="000000"/>
          <w:sz w:val="20"/>
          <w:szCs w:val="20"/>
        </w:rPr>
        <w:t xml:space="preserve">          </w:t>
      </w:r>
      <w:r w:rsidR="00AE1DA1">
        <w:rPr>
          <w:rFonts w:ascii="Times New Roman" w:hAnsi="Times New Roman" w:cs="Times New Roman"/>
          <w:b/>
          <w:color w:val="000000"/>
          <w:sz w:val="20"/>
          <w:szCs w:val="20"/>
        </w:rPr>
        <w:t xml:space="preserve">3. </w:t>
      </w:r>
      <w:r w:rsidR="00D00847" w:rsidRPr="00F34A29">
        <w:rPr>
          <w:rFonts w:ascii="Times New Roman" w:hAnsi="Times New Roman" w:cs="Times New Roman"/>
          <w:b/>
          <w:color w:val="000000"/>
          <w:sz w:val="20"/>
          <w:szCs w:val="20"/>
        </w:rPr>
        <w:t>Floating Amounts</w:t>
      </w:r>
      <w:r w:rsidR="001F2BF4">
        <w:rPr>
          <w:rFonts w:ascii="Times New Roman" w:hAnsi="Times New Roman" w:cs="Times New Roman"/>
          <w:b/>
          <w:color w:val="000000"/>
          <w:sz w:val="20"/>
          <w:szCs w:val="20"/>
        </w:rPr>
        <w:t xml:space="preserve"> II</w:t>
      </w:r>
      <w:r w:rsidR="00D00847" w:rsidRPr="00F34A29">
        <w:rPr>
          <w:rFonts w:ascii="Times New Roman" w:hAnsi="Times New Roman" w:cs="Times New Roman"/>
          <w:b/>
          <w:color w:val="000000"/>
          <w:sz w:val="20"/>
          <w:szCs w:val="20"/>
        </w:rPr>
        <w:t>:</w:t>
      </w:r>
    </w:p>
    <w:p w14:paraId="5B4D0D58" w14:textId="1C43462B" w:rsidR="00D00847" w:rsidRDefault="00D00847" w:rsidP="00D00847">
      <w:pPr>
        <w:tabs>
          <w:tab w:val="left" w:pos="4320"/>
        </w:tabs>
        <w:ind w:left="720"/>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Floa</w:t>
      </w:r>
      <w:r w:rsidR="008148E3">
        <w:rPr>
          <w:rFonts w:ascii="Times New Roman" w:hAnsi="Times New Roman" w:cs="Times New Roman"/>
          <w:color w:val="000000"/>
          <w:sz w:val="20"/>
          <w:szCs w:val="20"/>
        </w:rPr>
        <w:t xml:space="preserve">ting Rate </w:t>
      </w:r>
      <w:r w:rsidR="001F2BF4">
        <w:rPr>
          <w:rFonts w:ascii="Times New Roman" w:hAnsi="Times New Roman" w:cs="Times New Roman"/>
          <w:color w:val="000000"/>
          <w:sz w:val="20"/>
          <w:szCs w:val="20"/>
        </w:rPr>
        <w:t xml:space="preserve">II </w:t>
      </w:r>
      <w:r w:rsidR="008148E3">
        <w:rPr>
          <w:rFonts w:ascii="Times New Roman" w:hAnsi="Times New Roman" w:cs="Times New Roman"/>
          <w:color w:val="000000"/>
          <w:sz w:val="20"/>
          <w:szCs w:val="20"/>
        </w:rPr>
        <w:t>Payer:</w:t>
      </w:r>
      <w:r w:rsidR="008148E3">
        <w:rPr>
          <w:rFonts w:ascii="Times New Roman" w:hAnsi="Times New Roman" w:cs="Times New Roman"/>
          <w:color w:val="000000"/>
          <w:sz w:val="20"/>
          <w:szCs w:val="20"/>
        </w:rPr>
        <w:tab/>
      </w:r>
      <w:r w:rsidR="00012DDE">
        <w:rPr>
          <w:rFonts w:ascii="Times New Roman" w:hAnsi="Times New Roman" w:cs="Times New Roman"/>
          <w:color w:val="000000"/>
          <w:sz w:val="20"/>
          <w:szCs w:val="20"/>
        </w:rPr>
        <w:t>[</w:t>
      </w:r>
      <w:r w:rsidR="008148E3">
        <w:rPr>
          <w:rFonts w:ascii="Times New Roman" w:hAnsi="Times New Roman" w:cs="Times New Roman"/>
          <w:color w:val="000000"/>
          <w:sz w:val="20"/>
          <w:szCs w:val="20"/>
        </w:rPr>
        <w:t xml:space="preserve">Party </w:t>
      </w:r>
      <w:r w:rsidR="001717DA">
        <w:rPr>
          <w:rFonts w:ascii="Times New Roman" w:hAnsi="Times New Roman" w:cs="Times New Roman"/>
          <w:color w:val="000000"/>
          <w:sz w:val="20"/>
          <w:szCs w:val="20"/>
        </w:rPr>
        <w:t>A</w:t>
      </w:r>
      <w:r w:rsidR="00012DDE">
        <w:rPr>
          <w:rFonts w:ascii="Times New Roman" w:hAnsi="Times New Roman" w:cs="Times New Roman"/>
          <w:color w:val="000000"/>
          <w:sz w:val="20"/>
          <w:szCs w:val="20"/>
        </w:rPr>
        <w:t>]</w:t>
      </w:r>
    </w:p>
    <w:p w14:paraId="35AE3A89" w14:textId="32A1C8EB" w:rsidR="00AE1DA1" w:rsidRDefault="000F7BBA" w:rsidP="00AE1DA1">
      <w:pPr>
        <w:spacing w:after="0"/>
        <w:ind w:left="4320" w:hanging="3600"/>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lastRenderedPageBreak/>
        <w:t>Floa</w:t>
      </w:r>
      <w:r>
        <w:rPr>
          <w:rFonts w:ascii="Times New Roman" w:hAnsi="Times New Roman" w:cs="Times New Roman"/>
          <w:color w:val="000000"/>
          <w:sz w:val="20"/>
          <w:szCs w:val="20"/>
        </w:rPr>
        <w:t xml:space="preserve">ting </w:t>
      </w:r>
      <w:r w:rsidR="00EA7DEC">
        <w:rPr>
          <w:rFonts w:ascii="Times New Roman" w:hAnsi="Times New Roman" w:cs="Times New Roman"/>
          <w:color w:val="000000"/>
          <w:sz w:val="20"/>
          <w:szCs w:val="20"/>
        </w:rPr>
        <w:t>Rate</w:t>
      </w:r>
      <w:r w:rsidR="00AE1DA1">
        <w:rPr>
          <w:rFonts w:ascii="Times New Roman" w:hAnsi="Times New Roman" w:cs="Times New Roman"/>
          <w:color w:val="000000"/>
          <w:sz w:val="20"/>
          <w:szCs w:val="20"/>
        </w:rPr>
        <w:t xml:space="preserve"> II</w:t>
      </w:r>
      <w:r w:rsidRPr="00F34A29" w:rsidDel="000F7BBA">
        <w:rPr>
          <w:rFonts w:ascii="Times New Roman" w:hAnsi="Times New Roman" w:cs="Times New Roman"/>
          <w:color w:val="000000"/>
          <w:sz w:val="20"/>
          <w:szCs w:val="20"/>
        </w:rPr>
        <w:t xml:space="preserve"> </w:t>
      </w:r>
      <w:r w:rsidR="00EA7DEC">
        <w:rPr>
          <w:rFonts w:ascii="Times New Roman" w:hAnsi="Times New Roman" w:cs="Times New Roman"/>
          <w:color w:val="000000"/>
          <w:sz w:val="20"/>
          <w:szCs w:val="20"/>
        </w:rPr>
        <w:t>Payer</w:t>
      </w:r>
    </w:p>
    <w:p w14:paraId="1BB76DEB" w14:textId="422325E6" w:rsidR="000B71C7" w:rsidRDefault="000F7BBA" w:rsidP="000B71C7">
      <w:pPr>
        <w:spacing w:after="0"/>
        <w:ind w:left="4320" w:hanging="36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Currency </w:t>
      </w:r>
      <w:r w:rsidR="001F2BF4" w:rsidRPr="00F34A29">
        <w:rPr>
          <w:rFonts w:ascii="Times New Roman" w:hAnsi="Times New Roman" w:cs="Times New Roman"/>
          <w:color w:val="000000"/>
          <w:sz w:val="20"/>
          <w:szCs w:val="20"/>
        </w:rPr>
        <w:t>Amount:</w:t>
      </w:r>
      <w:r w:rsidR="001F2BF4" w:rsidRPr="00F34A29">
        <w:rPr>
          <w:rFonts w:ascii="Times New Roman" w:hAnsi="Times New Roman" w:cs="Times New Roman"/>
          <w:color w:val="000000"/>
          <w:sz w:val="20"/>
          <w:szCs w:val="20"/>
        </w:rPr>
        <w:tab/>
      </w:r>
      <w:r w:rsidR="000B71C7" w:rsidRPr="000B71C7">
        <w:rPr>
          <w:rFonts w:ascii="Times New Roman" w:hAnsi="Times New Roman" w:cs="Times New Roman"/>
          <w:color w:val="000000"/>
          <w:sz w:val="20"/>
          <w:szCs w:val="20"/>
        </w:rPr>
        <w:t>See Notional Amount Schedule</w:t>
      </w:r>
      <w:r w:rsidR="00F778EB">
        <w:rPr>
          <w:rFonts w:ascii="Times New Roman" w:hAnsi="Times New Roman" w:cs="Times New Roman"/>
          <w:color w:val="000000"/>
          <w:sz w:val="20"/>
          <w:szCs w:val="20"/>
        </w:rPr>
        <w:t xml:space="preserve"> (below)</w:t>
      </w:r>
    </w:p>
    <w:p w14:paraId="5E62DABA" w14:textId="6C3DD28C" w:rsidR="009E022A" w:rsidRDefault="009E022A" w:rsidP="00D00847">
      <w:pPr>
        <w:spacing w:after="0"/>
        <w:ind w:left="4320" w:hanging="3600"/>
        <w:jc w:val="both"/>
        <w:rPr>
          <w:rFonts w:ascii="Times New Roman" w:hAnsi="Times New Roman" w:cs="Times New Roman"/>
          <w:color w:val="000000"/>
          <w:sz w:val="20"/>
          <w:szCs w:val="20"/>
        </w:rPr>
      </w:pPr>
    </w:p>
    <w:p w14:paraId="18EF2FC4" w14:textId="2BDD6033" w:rsidR="00D00847" w:rsidRPr="00F34A29" w:rsidRDefault="00D00847" w:rsidP="00D00847">
      <w:pPr>
        <w:spacing w:after="0"/>
        <w:ind w:left="4320" w:hanging="3600"/>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 xml:space="preserve">Floating Rate </w:t>
      </w:r>
      <w:r w:rsidR="001F2BF4">
        <w:rPr>
          <w:rFonts w:ascii="Times New Roman" w:hAnsi="Times New Roman" w:cs="Times New Roman"/>
          <w:color w:val="000000"/>
          <w:sz w:val="20"/>
          <w:szCs w:val="20"/>
        </w:rPr>
        <w:t xml:space="preserve">II </w:t>
      </w:r>
      <w:r w:rsidRPr="00F34A29">
        <w:rPr>
          <w:rFonts w:ascii="Times New Roman" w:hAnsi="Times New Roman" w:cs="Times New Roman"/>
          <w:color w:val="000000"/>
          <w:sz w:val="20"/>
          <w:szCs w:val="20"/>
        </w:rPr>
        <w:t>Payer</w:t>
      </w:r>
    </w:p>
    <w:p w14:paraId="3EE722AD" w14:textId="1CF939E3" w:rsidR="000B71C7" w:rsidRDefault="00796766" w:rsidP="000B71C7">
      <w:pPr>
        <w:spacing w:after="0"/>
        <w:ind w:left="4320" w:hanging="360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Period End </w:t>
      </w:r>
      <w:r w:rsidR="00D00847" w:rsidRPr="00F34A29">
        <w:rPr>
          <w:rFonts w:ascii="Times New Roman" w:hAnsi="Times New Roman" w:cs="Times New Roman"/>
          <w:color w:val="000000"/>
          <w:sz w:val="20"/>
          <w:szCs w:val="20"/>
        </w:rPr>
        <w:t>Dates:</w:t>
      </w:r>
      <w:r w:rsidR="00D00847" w:rsidRPr="00F34A29">
        <w:rPr>
          <w:rFonts w:ascii="Times New Roman" w:hAnsi="Times New Roman" w:cs="Times New Roman"/>
          <w:color w:val="000000"/>
          <w:sz w:val="20"/>
          <w:szCs w:val="20"/>
        </w:rPr>
        <w:tab/>
      </w:r>
      <w:r w:rsidR="000B71C7" w:rsidRPr="00D42EAD">
        <w:rPr>
          <w:rFonts w:ascii="Times New Roman" w:hAnsi="Times New Roman" w:cs="Times New Roman"/>
          <w:color w:val="000000"/>
          <w:sz w:val="20"/>
          <w:szCs w:val="20"/>
        </w:rPr>
        <w:t xml:space="preserve">Each of [•], [•], [•] and [•] in each year, commencing on and including [•], </w:t>
      </w:r>
      <w:r w:rsidR="000B71C7">
        <w:rPr>
          <w:rFonts w:ascii="Times New Roman" w:hAnsi="Times New Roman" w:cs="Times New Roman"/>
          <w:color w:val="000000"/>
          <w:sz w:val="20"/>
          <w:szCs w:val="20"/>
        </w:rPr>
        <w:t>up to</w:t>
      </w:r>
      <w:r w:rsidR="000B71C7" w:rsidRPr="00D42EAD">
        <w:rPr>
          <w:rFonts w:ascii="Times New Roman" w:hAnsi="Times New Roman" w:cs="Times New Roman"/>
          <w:color w:val="000000"/>
          <w:sz w:val="20"/>
          <w:szCs w:val="20"/>
        </w:rPr>
        <w:t xml:space="preserve"> </w:t>
      </w:r>
      <w:r w:rsidR="000B71C7" w:rsidRPr="00F34A29">
        <w:rPr>
          <w:rFonts w:ascii="Times New Roman" w:hAnsi="Times New Roman" w:cs="Times New Roman"/>
          <w:color w:val="000000"/>
          <w:sz w:val="20"/>
          <w:szCs w:val="20"/>
        </w:rPr>
        <w:t>and including the Termination Date</w:t>
      </w:r>
      <w:r w:rsidR="000B71C7">
        <w:rPr>
          <w:rFonts w:ascii="Times New Roman" w:hAnsi="Times New Roman" w:cs="Times New Roman"/>
          <w:color w:val="000000"/>
          <w:sz w:val="20"/>
          <w:szCs w:val="20"/>
        </w:rPr>
        <w:t xml:space="preserve">, </w:t>
      </w:r>
      <w:r w:rsidR="000B71C7" w:rsidRPr="00F34A29">
        <w:rPr>
          <w:rFonts w:ascii="Times New Roman" w:hAnsi="Times New Roman" w:cs="Times New Roman"/>
          <w:color w:val="000000"/>
          <w:sz w:val="20"/>
          <w:szCs w:val="20"/>
        </w:rPr>
        <w:t>subject to adjustment in accordance with the Modified Following Business Day Convention</w:t>
      </w:r>
      <w:r w:rsidR="000B71C7" w:rsidRPr="000B71C7">
        <w:rPr>
          <w:rFonts w:ascii="Times New Roman" w:hAnsi="Times New Roman" w:cs="Times New Roman"/>
          <w:color w:val="000000"/>
          <w:sz w:val="20"/>
          <w:szCs w:val="20"/>
        </w:rPr>
        <w:t>.</w:t>
      </w:r>
    </w:p>
    <w:p w14:paraId="29972689" w14:textId="77777777" w:rsidR="00796766" w:rsidRDefault="00796766" w:rsidP="00796766">
      <w:pPr>
        <w:spacing w:after="0"/>
        <w:ind w:left="4320" w:hanging="3600"/>
        <w:jc w:val="both"/>
        <w:rPr>
          <w:rFonts w:ascii="Times New Roman" w:hAnsi="Times New Roman" w:cs="Times New Roman"/>
          <w:color w:val="000000"/>
          <w:sz w:val="20"/>
          <w:szCs w:val="20"/>
        </w:rPr>
      </w:pPr>
      <w:r>
        <w:rPr>
          <w:rFonts w:ascii="Times New Roman" w:hAnsi="Times New Roman" w:cs="Times New Roman"/>
          <w:color w:val="000000"/>
          <w:sz w:val="20"/>
          <w:szCs w:val="20"/>
        </w:rPr>
        <w:t>Floating Rate I Payer</w:t>
      </w:r>
    </w:p>
    <w:p w14:paraId="26AE31B5" w14:textId="6478C70B" w:rsidR="00796766" w:rsidRDefault="00796766" w:rsidP="00796766">
      <w:pPr>
        <w:spacing w:after="0"/>
        <w:ind w:left="4320" w:hanging="3600"/>
        <w:jc w:val="both"/>
        <w:rPr>
          <w:rFonts w:ascii="Times New Roman" w:hAnsi="Times New Roman" w:cs="Times New Roman"/>
          <w:color w:val="000000"/>
          <w:sz w:val="20"/>
          <w:szCs w:val="20"/>
        </w:rPr>
      </w:pPr>
      <w:r>
        <w:rPr>
          <w:rFonts w:ascii="Times New Roman" w:hAnsi="Times New Roman" w:cs="Times New Roman"/>
          <w:color w:val="000000"/>
          <w:sz w:val="20"/>
          <w:szCs w:val="20"/>
        </w:rPr>
        <w:t>Payment Dates:</w:t>
      </w:r>
      <w:r>
        <w:rPr>
          <w:rFonts w:ascii="Times New Roman" w:hAnsi="Times New Roman" w:cs="Times New Roman"/>
          <w:color w:val="000000"/>
          <w:sz w:val="20"/>
          <w:szCs w:val="20"/>
        </w:rPr>
        <w:tab/>
        <w:t>Each day falling one Business Day after each Floating Rate I Payer Period End Date.</w:t>
      </w:r>
    </w:p>
    <w:p w14:paraId="40B63FBB" w14:textId="24EA3DCF" w:rsidR="00D42EAD" w:rsidRPr="00EF7DEC" w:rsidRDefault="00D42EAD" w:rsidP="000B71C7">
      <w:pPr>
        <w:spacing w:after="0"/>
        <w:jc w:val="both"/>
        <w:rPr>
          <w:color w:val="000000"/>
        </w:rPr>
      </w:pPr>
    </w:p>
    <w:p w14:paraId="6AF89BBB" w14:textId="381FE9FD" w:rsidR="00F778EB" w:rsidRDefault="00D42EAD" w:rsidP="00F778EB">
      <w:pPr>
        <w:ind w:left="709" w:firstLine="11"/>
        <w:jc w:val="both"/>
        <w:rPr>
          <w:rFonts w:ascii="Times New Roman" w:hAnsi="Times New Roman" w:cs="Times New Roman"/>
          <w:color w:val="000000"/>
          <w:sz w:val="20"/>
          <w:szCs w:val="20"/>
        </w:rPr>
      </w:pPr>
      <w:r w:rsidRPr="00D42EAD">
        <w:rPr>
          <w:rFonts w:ascii="Times New Roman" w:hAnsi="Times New Roman" w:cs="Times New Roman"/>
          <w:color w:val="000000"/>
          <w:sz w:val="20"/>
          <w:szCs w:val="20"/>
        </w:rPr>
        <w:t xml:space="preserve">Floating Rate </w:t>
      </w:r>
      <w:r w:rsidR="001F2BF4">
        <w:rPr>
          <w:rFonts w:ascii="Times New Roman" w:hAnsi="Times New Roman" w:cs="Times New Roman"/>
          <w:color w:val="000000"/>
          <w:sz w:val="20"/>
          <w:szCs w:val="20"/>
        </w:rPr>
        <w:t xml:space="preserve">II </w:t>
      </w:r>
      <w:r w:rsidRPr="00D42EAD">
        <w:rPr>
          <w:rFonts w:ascii="Times New Roman" w:hAnsi="Times New Roman" w:cs="Times New Roman"/>
          <w:color w:val="000000"/>
          <w:sz w:val="20"/>
          <w:szCs w:val="20"/>
        </w:rPr>
        <w:t>Option:</w:t>
      </w:r>
      <w:r w:rsidRPr="00D42EAD">
        <w:rPr>
          <w:rFonts w:ascii="Times New Roman" w:hAnsi="Times New Roman" w:cs="Times New Roman"/>
          <w:color w:val="000000"/>
          <w:sz w:val="20"/>
          <w:szCs w:val="20"/>
        </w:rPr>
        <w:tab/>
      </w:r>
      <w:r w:rsidR="00F51267">
        <w:rPr>
          <w:rFonts w:ascii="Times New Roman" w:hAnsi="Times New Roman" w:cs="Times New Roman"/>
          <w:color w:val="000000"/>
          <w:sz w:val="20"/>
          <w:szCs w:val="20"/>
        </w:rPr>
        <w:t xml:space="preserve">                          </w:t>
      </w:r>
      <w:r w:rsidR="00E02C33">
        <w:rPr>
          <w:rFonts w:ascii="Times New Roman" w:hAnsi="Times New Roman" w:cs="Times New Roman"/>
          <w:color w:val="000000"/>
          <w:sz w:val="20"/>
          <w:szCs w:val="20"/>
        </w:rPr>
        <w:t xml:space="preserve"> </w:t>
      </w:r>
      <w:r w:rsidR="00F51267">
        <w:rPr>
          <w:rFonts w:ascii="Times New Roman" w:hAnsi="Times New Roman" w:cs="Times New Roman"/>
          <w:color w:val="000000"/>
          <w:sz w:val="20"/>
          <w:szCs w:val="20"/>
        </w:rPr>
        <w:t xml:space="preserve"> </w:t>
      </w:r>
      <w:r w:rsidRPr="00D42EAD">
        <w:rPr>
          <w:rFonts w:ascii="Times New Roman" w:hAnsi="Times New Roman" w:cs="Times New Roman"/>
          <w:color w:val="000000"/>
          <w:sz w:val="20"/>
          <w:szCs w:val="20"/>
        </w:rPr>
        <w:t>KZT-TONIA-OIS-COMPOUND (as defined below</w:t>
      </w:r>
      <w:r w:rsidR="00F778EB">
        <w:rPr>
          <w:rFonts w:ascii="Times New Roman" w:hAnsi="Times New Roman" w:cs="Times New Roman"/>
          <w:color w:val="000000"/>
          <w:sz w:val="20"/>
          <w:szCs w:val="20"/>
        </w:rPr>
        <w:t>)</w:t>
      </w:r>
    </w:p>
    <w:p w14:paraId="0D7056E0" w14:textId="77777777" w:rsidR="001F13EB" w:rsidRPr="000E5579" w:rsidRDefault="00D42EAD" w:rsidP="001F13EB">
      <w:pPr>
        <w:ind w:firstLine="11"/>
        <w:jc w:val="both"/>
        <w:rPr>
          <w:rFonts w:ascii="Times New Roman" w:hAnsi="Times New Roman" w:cs="Times New Roman"/>
          <w:color w:val="000000"/>
          <w:sz w:val="20"/>
          <w:szCs w:val="20"/>
        </w:rPr>
      </w:pPr>
      <w:bookmarkStart w:id="2" w:name="_Hlk146876440"/>
      <w:bookmarkStart w:id="3" w:name="_Hlk146876478"/>
      <w:r w:rsidRPr="00D42EAD">
        <w:rPr>
          <w:rFonts w:ascii="Times New Roman" w:hAnsi="Times New Roman" w:cs="Times New Roman"/>
          <w:color w:val="000000"/>
          <w:sz w:val="20"/>
          <w:szCs w:val="20"/>
        </w:rPr>
        <w:t>“</w:t>
      </w:r>
      <w:bookmarkEnd w:id="2"/>
      <w:bookmarkEnd w:id="3"/>
      <w:r w:rsidR="001F13EB" w:rsidRPr="00D42EAD">
        <w:rPr>
          <w:rFonts w:ascii="Times New Roman" w:hAnsi="Times New Roman" w:cs="Times New Roman"/>
          <w:color w:val="000000"/>
          <w:sz w:val="20"/>
          <w:szCs w:val="20"/>
        </w:rPr>
        <w:t>“</w:t>
      </w:r>
      <w:r w:rsidR="001F13EB" w:rsidRPr="000E5579">
        <w:rPr>
          <w:rFonts w:ascii="Times New Roman" w:hAnsi="Times New Roman" w:cs="Times New Roman"/>
          <w:b/>
          <w:color w:val="000000"/>
          <w:sz w:val="20"/>
          <w:szCs w:val="20"/>
        </w:rPr>
        <w:t>KZT-TONIA-OIS-COMPOUND</w:t>
      </w:r>
      <w:r w:rsidR="001F13EB" w:rsidRPr="000E5579">
        <w:rPr>
          <w:rFonts w:ascii="Times New Roman" w:hAnsi="Times New Roman" w:cs="Times New Roman"/>
          <w:color w:val="000000"/>
          <w:sz w:val="20"/>
          <w:szCs w:val="20"/>
        </w:rPr>
        <w:t>” means the rate for a Floating Rate II Reset Date, calculated by the Calculation Agent in accordance with the provisions below, and the resulting percentage will be rounded, if necessary, in accordance with the method set forth in Section 4.8.1(</w:t>
      </w:r>
      <w:proofErr w:type="spellStart"/>
      <w:r w:rsidR="001F13EB" w:rsidRPr="000E5579">
        <w:rPr>
          <w:rFonts w:ascii="Times New Roman" w:hAnsi="Times New Roman" w:cs="Times New Roman"/>
          <w:color w:val="000000"/>
          <w:sz w:val="20"/>
          <w:szCs w:val="20"/>
        </w:rPr>
        <w:t>i</w:t>
      </w:r>
      <w:proofErr w:type="spellEnd"/>
      <w:r w:rsidR="001F13EB" w:rsidRPr="000E5579">
        <w:rPr>
          <w:rFonts w:ascii="Times New Roman" w:hAnsi="Times New Roman" w:cs="Times New Roman"/>
          <w:color w:val="000000"/>
          <w:sz w:val="20"/>
          <w:szCs w:val="20"/>
        </w:rPr>
        <w:t>) of the Definitions, but nearest second decimal place of a percentage point, with 0.005 being rounded upwards:</w:t>
      </w:r>
    </w:p>
    <w:p w14:paraId="29C17B36" w14:textId="77777777" w:rsidR="001F13EB" w:rsidRPr="000E5579" w:rsidRDefault="001F13EB" w:rsidP="001F13EB">
      <w:pPr>
        <w:ind w:firstLine="11"/>
        <w:jc w:val="both"/>
        <w:rPr>
          <w:rFonts w:ascii="Times New Roman" w:hAnsi="Times New Roman" w:cs="Times New Roman"/>
          <w:color w:val="000000"/>
          <w:sz w:val="20"/>
          <w:szCs w:val="20"/>
        </w:rPr>
      </w:pPr>
      <w:r w:rsidRPr="000E5579">
        <w:rPr>
          <w:rFonts w:ascii="Times New Roman" w:hAnsi="Times New Roman" w:cs="Times New Roman"/>
          <w:noProof/>
          <w:lang w:val="ru-RU" w:eastAsia="ru-RU"/>
        </w:rPr>
        <w:drawing>
          <wp:inline distT="0" distB="0" distL="0" distR="0" wp14:anchorId="4AF876E3" wp14:editId="38F5C85E">
            <wp:extent cx="5543550" cy="1057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3550" cy="1057275"/>
                    </a:xfrm>
                    <a:prstGeom prst="rect">
                      <a:avLst/>
                    </a:prstGeom>
                    <a:noFill/>
                    <a:ln>
                      <a:noFill/>
                    </a:ln>
                  </pic:spPr>
                </pic:pic>
              </a:graphicData>
            </a:graphic>
          </wp:inline>
        </w:drawing>
      </w:r>
      <w:r w:rsidRPr="000E5579">
        <w:rPr>
          <w:rFonts w:ascii="Times New Roman" w:hAnsi="Times New Roman" w:cs="Times New Roman"/>
          <w:color w:val="000000"/>
          <w:sz w:val="20"/>
          <w:szCs w:val="20"/>
        </w:rPr>
        <w:t xml:space="preserve"> </w:t>
      </w:r>
    </w:p>
    <w:p w14:paraId="7EA0840E" w14:textId="77777777" w:rsidR="001F13EB" w:rsidRPr="000E5579" w:rsidRDefault="001F13EB" w:rsidP="001F13EB">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 “dc” means the number of calendar days from (and including) TONIA </w:t>
      </w:r>
      <w:proofErr w:type="spellStart"/>
      <w:r w:rsidRPr="000E5579">
        <w:rPr>
          <w:rFonts w:ascii="Times New Roman" w:hAnsi="Times New Roman" w:cs="Times New Roman"/>
          <w:color w:val="000000"/>
          <w:sz w:val="20"/>
          <w:szCs w:val="20"/>
        </w:rPr>
        <w:t>IndexStart</w:t>
      </w:r>
      <w:proofErr w:type="spellEnd"/>
      <w:r w:rsidRPr="000E5579">
        <w:rPr>
          <w:rFonts w:ascii="Times New Roman" w:hAnsi="Times New Roman" w:cs="Times New Roman"/>
          <w:color w:val="000000"/>
          <w:sz w:val="20"/>
          <w:szCs w:val="20"/>
        </w:rPr>
        <w:t xml:space="preserve"> to (but excluding) TONIA </w:t>
      </w:r>
      <w:proofErr w:type="spellStart"/>
      <w:proofErr w:type="gramStart"/>
      <w:r w:rsidRPr="000E5579">
        <w:rPr>
          <w:rFonts w:ascii="Times New Roman" w:hAnsi="Times New Roman" w:cs="Times New Roman"/>
          <w:color w:val="000000"/>
          <w:sz w:val="20"/>
          <w:szCs w:val="20"/>
        </w:rPr>
        <w:t>IndexEnd</w:t>
      </w:r>
      <w:proofErr w:type="spellEnd"/>
      <w:r w:rsidRPr="000E5579">
        <w:rPr>
          <w:rFonts w:ascii="Times New Roman" w:hAnsi="Times New Roman" w:cs="Times New Roman"/>
          <w:color w:val="000000"/>
          <w:sz w:val="20"/>
          <w:szCs w:val="20"/>
        </w:rPr>
        <w:t>;</w:t>
      </w:r>
      <w:proofErr w:type="gramEnd"/>
    </w:p>
    <w:p w14:paraId="6EF70B30" w14:textId="3124765E" w:rsidR="001F13EB" w:rsidRPr="000E5579" w:rsidRDefault="001F13EB" w:rsidP="001F13EB">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“TONIA Index” means, in relation to any calendar day, the “TONIA Compounded Index (TCI)” value published by the Kazakhstan Stock Exchange (“KASE”) as administrator of the TONIA reference rate (or a successor administrator) </w:t>
      </w:r>
      <w:bookmarkStart w:id="4" w:name="_Hlk188349703"/>
      <w:r w:rsidRPr="000E5579">
        <w:rPr>
          <w:rFonts w:ascii="Times New Roman" w:hAnsi="Times New Roman" w:cs="Times New Roman"/>
          <w:color w:val="000000"/>
          <w:sz w:val="20"/>
          <w:szCs w:val="20"/>
        </w:rPr>
        <w:t>on</w:t>
      </w:r>
      <w:r w:rsidR="00E7306F">
        <w:rPr>
          <w:rFonts w:ascii="Times New Roman" w:hAnsi="Times New Roman" w:cs="Times New Roman"/>
          <w:color w:val="000000"/>
          <w:sz w:val="20"/>
          <w:szCs w:val="20"/>
        </w:rPr>
        <w:t xml:space="preserve"> </w:t>
      </w:r>
      <w:hyperlink r:id="rId13" w:history="1">
        <w:r w:rsidR="00E7306F" w:rsidRPr="0098454B">
          <w:rPr>
            <w:rStyle w:val="ab"/>
            <w:rFonts w:ascii="Times New Roman" w:hAnsi="Times New Roman" w:cs="Times New Roman"/>
            <w:sz w:val="20"/>
            <w:szCs w:val="20"/>
          </w:rPr>
          <w:t>https://kase.kz/en/money_market/repo-indicators/tonia_compounded/</w:t>
        </w:r>
      </w:hyperlink>
      <w:r w:rsidR="00E7306F">
        <w:rPr>
          <w:rFonts w:ascii="Times New Roman" w:hAnsi="Times New Roman" w:cs="Times New Roman"/>
          <w:color w:val="000000"/>
          <w:sz w:val="20"/>
          <w:szCs w:val="20"/>
        </w:rPr>
        <w:t xml:space="preserve"> (or a successor page),</w:t>
      </w:r>
      <w:r w:rsidRPr="000E5579">
        <w:rPr>
          <w:rFonts w:ascii="Times New Roman" w:hAnsi="Times New Roman" w:cs="Times New Roman"/>
          <w:color w:val="000000"/>
          <w:sz w:val="20"/>
          <w:szCs w:val="20"/>
        </w:rPr>
        <w:t xml:space="preserve"> the </w:t>
      </w:r>
      <w:r w:rsidR="00E7306F">
        <w:rPr>
          <w:rFonts w:ascii="Times New Roman" w:hAnsi="Times New Roman" w:cs="Times New Roman"/>
          <w:color w:val="000000"/>
          <w:sz w:val="20"/>
          <w:szCs w:val="20"/>
        </w:rPr>
        <w:t>(“</w:t>
      </w:r>
      <w:r w:rsidR="003F5DE5" w:rsidRPr="00E7306F">
        <w:rPr>
          <w:rFonts w:ascii="Times New Roman" w:hAnsi="Times New Roman" w:cs="Times New Roman"/>
          <w:b/>
          <w:bCs/>
          <w:color w:val="000000"/>
          <w:sz w:val="20"/>
          <w:szCs w:val="20"/>
        </w:rPr>
        <w:t>Relevant</w:t>
      </w:r>
      <w:r w:rsidRPr="00E7306F">
        <w:rPr>
          <w:rFonts w:ascii="Times New Roman" w:hAnsi="Times New Roman" w:cs="Times New Roman"/>
          <w:b/>
          <w:bCs/>
          <w:color w:val="000000"/>
          <w:sz w:val="20"/>
          <w:szCs w:val="20"/>
        </w:rPr>
        <w:t xml:space="preserve"> Screen Page</w:t>
      </w:r>
      <w:r w:rsidR="00E7306F">
        <w:rPr>
          <w:rFonts w:ascii="Times New Roman" w:hAnsi="Times New Roman" w:cs="Times New Roman"/>
          <w:color w:val="000000"/>
          <w:sz w:val="20"/>
          <w:szCs w:val="20"/>
        </w:rPr>
        <w:t>”)</w:t>
      </w:r>
      <w:r w:rsidRPr="000E5579">
        <w:rPr>
          <w:rFonts w:ascii="Times New Roman" w:hAnsi="Times New Roman" w:cs="Times New Roman"/>
          <w:color w:val="000000"/>
          <w:sz w:val="20"/>
          <w:szCs w:val="20"/>
        </w:rPr>
        <w:t xml:space="preserve"> </w:t>
      </w:r>
      <w:bookmarkEnd w:id="4"/>
      <w:r w:rsidRPr="000E5579">
        <w:rPr>
          <w:rFonts w:ascii="Times New Roman" w:hAnsi="Times New Roman" w:cs="Times New Roman"/>
          <w:color w:val="000000"/>
          <w:sz w:val="20"/>
          <w:szCs w:val="20"/>
        </w:rPr>
        <w:t>on or before 8:00 p.m. (Almaty Time) on such day;</w:t>
      </w:r>
    </w:p>
    <w:p w14:paraId="16752541" w14:textId="6C393183" w:rsidR="001F13EB" w:rsidRPr="000E5579" w:rsidRDefault="001F13EB" w:rsidP="001F13EB">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“TONIA </w:t>
      </w:r>
      <w:proofErr w:type="spellStart"/>
      <w:r w:rsidRPr="000E5579">
        <w:rPr>
          <w:rFonts w:ascii="Times New Roman" w:hAnsi="Times New Roman" w:cs="Times New Roman"/>
          <w:color w:val="000000"/>
          <w:sz w:val="20"/>
          <w:szCs w:val="20"/>
        </w:rPr>
        <w:t>IndexEnd</w:t>
      </w:r>
      <w:proofErr w:type="spellEnd"/>
      <w:r w:rsidRPr="000E5579">
        <w:rPr>
          <w:rFonts w:ascii="Times New Roman" w:hAnsi="Times New Roman" w:cs="Times New Roman"/>
          <w:color w:val="000000"/>
          <w:sz w:val="20"/>
          <w:szCs w:val="20"/>
        </w:rPr>
        <w:t>” means the TONIA Index value on</w:t>
      </w:r>
      <w:r w:rsidR="00C45130" w:rsidRPr="00C45130">
        <w:rPr>
          <w:rFonts w:ascii="Times New Roman" w:hAnsi="Times New Roman" w:cs="Times New Roman"/>
          <w:color w:val="000000"/>
          <w:sz w:val="20"/>
          <w:szCs w:val="20"/>
        </w:rPr>
        <w:t xml:space="preserve"> </w:t>
      </w:r>
      <w:r w:rsidR="00C45130" w:rsidRPr="000E5579">
        <w:rPr>
          <w:rFonts w:ascii="Times New Roman" w:hAnsi="Times New Roman" w:cs="Times New Roman"/>
          <w:color w:val="000000"/>
          <w:sz w:val="20"/>
          <w:szCs w:val="20"/>
        </w:rPr>
        <w:t>the day which is</w:t>
      </w:r>
      <w:r w:rsidRPr="000E5579">
        <w:rPr>
          <w:rFonts w:ascii="Times New Roman" w:hAnsi="Times New Roman" w:cs="Times New Roman"/>
          <w:color w:val="000000"/>
          <w:sz w:val="20"/>
          <w:szCs w:val="20"/>
        </w:rPr>
        <w:t xml:space="preserve"> (</w:t>
      </w:r>
      <w:proofErr w:type="spellStart"/>
      <w:r w:rsidRPr="000E5579">
        <w:rPr>
          <w:rFonts w:ascii="Times New Roman" w:hAnsi="Times New Roman" w:cs="Times New Roman"/>
          <w:color w:val="000000"/>
          <w:sz w:val="20"/>
          <w:szCs w:val="20"/>
        </w:rPr>
        <w:t>i</w:t>
      </w:r>
      <w:proofErr w:type="spellEnd"/>
      <w:r w:rsidRPr="000E5579">
        <w:rPr>
          <w:rFonts w:ascii="Times New Roman" w:hAnsi="Times New Roman" w:cs="Times New Roman"/>
          <w:color w:val="000000"/>
          <w:sz w:val="20"/>
          <w:szCs w:val="20"/>
        </w:rPr>
        <w:t xml:space="preserve">) the Floating Rate II Payer </w:t>
      </w:r>
      <w:r w:rsidR="00C83F86">
        <w:rPr>
          <w:rFonts w:ascii="Times New Roman" w:hAnsi="Times New Roman" w:cs="Times New Roman"/>
          <w:color w:val="000000"/>
          <w:sz w:val="20"/>
          <w:szCs w:val="20"/>
        </w:rPr>
        <w:t>Period End Date</w:t>
      </w:r>
      <w:r w:rsidRPr="000E5579">
        <w:rPr>
          <w:rFonts w:ascii="Times New Roman" w:hAnsi="Times New Roman" w:cs="Times New Roman"/>
          <w:color w:val="000000"/>
          <w:sz w:val="20"/>
          <w:szCs w:val="20"/>
        </w:rPr>
        <w:t xml:space="preserve"> relating to such Calculation Period, or (ii) in the final Calculation Period, the Termination Date (each, an “Index Determination Date"</w:t>
      </w:r>
      <w:proofErr w:type="gramStart"/>
      <w:r w:rsidRPr="000E5579">
        <w:rPr>
          <w:rFonts w:ascii="Times New Roman" w:hAnsi="Times New Roman" w:cs="Times New Roman"/>
          <w:color w:val="000000"/>
          <w:sz w:val="20"/>
          <w:szCs w:val="20"/>
        </w:rPr>
        <w:t>);</w:t>
      </w:r>
      <w:proofErr w:type="gramEnd"/>
      <w:r w:rsidRPr="000E5579">
        <w:rPr>
          <w:rFonts w:ascii="Times New Roman" w:hAnsi="Times New Roman" w:cs="Times New Roman"/>
          <w:color w:val="000000"/>
          <w:sz w:val="20"/>
          <w:szCs w:val="20"/>
        </w:rPr>
        <w:t xml:space="preserve"> </w:t>
      </w:r>
    </w:p>
    <w:p w14:paraId="2722E8FC" w14:textId="2864953B" w:rsidR="001F13EB" w:rsidRPr="000E5579" w:rsidRDefault="001F13EB" w:rsidP="001F13EB">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“TONIA </w:t>
      </w:r>
      <w:proofErr w:type="spellStart"/>
      <w:r w:rsidRPr="000E5579">
        <w:rPr>
          <w:rFonts w:ascii="Times New Roman" w:hAnsi="Times New Roman" w:cs="Times New Roman"/>
          <w:color w:val="000000"/>
          <w:sz w:val="20"/>
          <w:szCs w:val="20"/>
        </w:rPr>
        <w:t>IndexStart</w:t>
      </w:r>
      <w:proofErr w:type="spellEnd"/>
      <w:r w:rsidRPr="000E5579">
        <w:rPr>
          <w:rFonts w:ascii="Times New Roman" w:hAnsi="Times New Roman" w:cs="Times New Roman"/>
          <w:color w:val="000000"/>
          <w:sz w:val="20"/>
          <w:szCs w:val="20"/>
        </w:rPr>
        <w:t>” means the TONIA Index value on the first date of the relevant Calculation Period (an "Index Determination Date"</w:t>
      </w:r>
      <w:proofErr w:type="gramStart"/>
      <w:r w:rsidRPr="000E5579">
        <w:rPr>
          <w:rFonts w:ascii="Times New Roman" w:hAnsi="Times New Roman" w:cs="Times New Roman"/>
          <w:color w:val="000000"/>
          <w:sz w:val="20"/>
          <w:szCs w:val="20"/>
        </w:rPr>
        <w:t>);</w:t>
      </w:r>
      <w:proofErr w:type="gramEnd"/>
      <w:r w:rsidRPr="000E5579">
        <w:rPr>
          <w:rFonts w:ascii="Times New Roman" w:hAnsi="Times New Roman" w:cs="Times New Roman"/>
          <w:color w:val="000000"/>
          <w:sz w:val="20"/>
          <w:szCs w:val="20"/>
        </w:rPr>
        <w:t xml:space="preserve"> </w:t>
      </w:r>
    </w:p>
    <w:p w14:paraId="0150D222" w14:textId="3E8FBEAB" w:rsidR="001F13EB" w:rsidRPr="000E5579" w:rsidRDefault="001F13EB" w:rsidP="001F13EB">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If the TONIA Index</w:t>
      </w:r>
      <w:r w:rsidRPr="000E5579">
        <w:rPr>
          <w:rFonts w:ascii="Times New Roman" w:hAnsi="Times New Roman" w:cs="Times New Roman"/>
        </w:rPr>
        <w:t xml:space="preserve"> </w:t>
      </w:r>
      <w:r w:rsidRPr="000E5579">
        <w:rPr>
          <w:rFonts w:ascii="Times New Roman" w:hAnsi="Times New Roman" w:cs="Times New Roman"/>
          <w:color w:val="000000"/>
          <w:sz w:val="20"/>
          <w:szCs w:val="20"/>
        </w:rPr>
        <w:t xml:space="preserve">is unavailable for a Floating Rate II Reset Date on the </w:t>
      </w:r>
      <w:r w:rsidR="00071050">
        <w:rPr>
          <w:rFonts w:ascii="Times New Roman" w:hAnsi="Times New Roman" w:cs="Times New Roman"/>
          <w:color w:val="000000"/>
          <w:sz w:val="20"/>
          <w:szCs w:val="20"/>
        </w:rPr>
        <w:t>Relevant</w:t>
      </w:r>
      <w:r w:rsidRPr="000E5579">
        <w:rPr>
          <w:rFonts w:ascii="Times New Roman" w:hAnsi="Times New Roman" w:cs="Times New Roman"/>
          <w:color w:val="000000"/>
          <w:sz w:val="20"/>
          <w:szCs w:val="20"/>
        </w:rPr>
        <w:t xml:space="preserve"> Screen Page, KZT-TONIA-OIS-COMPOUND will be calculated by the Calculation Agent in accordance with the provisions below, and the resulting percentage will be rounded, if necessary, in accordance with the method set forth in Section 4.8.1 (</w:t>
      </w:r>
      <w:proofErr w:type="spellStart"/>
      <w:r w:rsidRPr="000E5579">
        <w:rPr>
          <w:rFonts w:ascii="Times New Roman" w:hAnsi="Times New Roman" w:cs="Times New Roman"/>
          <w:color w:val="000000"/>
          <w:sz w:val="20"/>
          <w:szCs w:val="20"/>
        </w:rPr>
        <w:t>i</w:t>
      </w:r>
      <w:proofErr w:type="spellEnd"/>
      <w:r w:rsidRPr="000E5579">
        <w:rPr>
          <w:rFonts w:ascii="Times New Roman" w:hAnsi="Times New Roman" w:cs="Times New Roman"/>
          <w:color w:val="000000"/>
          <w:sz w:val="20"/>
          <w:szCs w:val="20"/>
        </w:rPr>
        <w:t>) of the Definitions, but nearest second decimal place of a percentage point, with 0.005 being rounded upwards to</w:t>
      </w:r>
    </w:p>
    <w:p w14:paraId="149A19E0" w14:textId="77777777" w:rsidR="001F13EB" w:rsidRPr="000E5579" w:rsidRDefault="00E04DA1" w:rsidP="001F13EB">
      <w:pPr>
        <w:ind w:firstLine="11"/>
        <w:jc w:val="both"/>
        <w:rPr>
          <w:rFonts w:ascii="Times New Roman" w:hAnsi="Times New Roman" w:cs="Times New Roman"/>
          <w:color w:val="000000"/>
          <w:sz w:val="20"/>
          <w:szCs w:val="20"/>
        </w:rPr>
      </w:pPr>
      <m:oMathPara>
        <m:oMath>
          <m:d>
            <m:dPr>
              <m:begChr m:val="["/>
              <m:endChr m:val="]"/>
              <m:ctrlPr>
                <w:rPr>
                  <w:rFonts w:ascii="Cambria Math" w:hAnsi="Cambria Math" w:cs="Times New Roman"/>
                  <w:i/>
                  <w:color w:val="000000"/>
                  <w:sz w:val="20"/>
                  <w:szCs w:val="20"/>
                </w:rPr>
              </m:ctrlPr>
            </m:dPr>
            <m:e>
              <m:nary>
                <m:naryPr>
                  <m:chr m:val="∏"/>
                  <m:limLoc m:val="undOvr"/>
                  <m:ctrlPr>
                    <w:rPr>
                      <w:rFonts w:ascii="Cambria Math" w:hAnsi="Cambria Math" w:cs="Times New Roman"/>
                      <w:i/>
                      <w:color w:val="000000"/>
                      <w:sz w:val="20"/>
                      <w:szCs w:val="20"/>
                    </w:rPr>
                  </m:ctrlPr>
                </m:naryPr>
                <m:sub>
                  <m:r>
                    <w:rPr>
                      <w:rFonts w:ascii="Cambria Math" w:hAnsi="Cambria Math" w:cs="Times New Roman"/>
                      <w:color w:val="000000"/>
                      <w:sz w:val="20"/>
                      <w:szCs w:val="20"/>
                    </w:rPr>
                    <m:t>i=1</m:t>
                  </m:r>
                </m:sub>
                <m:sup>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d</m:t>
                      </m:r>
                    </m:e>
                    <m:sub>
                      <m:r>
                        <w:rPr>
                          <w:rFonts w:ascii="Cambria Math" w:hAnsi="Cambria Math" w:cs="Times New Roman"/>
                          <w:color w:val="000000"/>
                          <w:sz w:val="20"/>
                          <w:szCs w:val="20"/>
                        </w:rPr>
                        <m:t>0</m:t>
                      </m:r>
                    </m:sub>
                  </m:sSub>
                </m:sup>
                <m:e>
                  <m:d>
                    <m:dPr>
                      <m:ctrlPr>
                        <w:rPr>
                          <w:rFonts w:ascii="Cambria Math" w:hAnsi="Cambria Math" w:cs="Times New Roman"/>
                          <w:i/>
                          <w:color w:val="000000"/>
                          <w:sz w:val="20"/>
                          <w:szCs w:val="20"/>
                        </w:rPr>
                      </m:ctrlPr>
                    </m:dPr>
                    <m:e>
                      <m:r>
                        <w:rPr>
                          <w:rFonts w:ascii="Cambria Math" w:hAnsi="Cambria Math" w:cs="Times New Roman"/>
                          <w:color w:val="000000"/>
                          <w:sz w:val="20"/>
                          <w:szCs w:val="20"/>
                        </w:rPr>
                        <m:t>1+</m:t>
                      </m:r>
                      <m:f>
                        <m:fPr>
                          <m:ctrlPr>
                            <w:rPr>
                              <w:rFonts w:ascii="Cambria Math" w:hAnsi="Cambria Math" w:cs="Times New Roman"/>
                              <w:i/>
                              <w:color w:val="000000"/>
                              <w:sz w:val="20"/>
                              <w:szCs w:val="20"/>
                            </w:rPr>
                          </m:ctrlPr>
                        </m:fPr>
                        <m:num>
                          <m:r>
                            <w:rPr>
                              <w:rFonts w:ascii="Cambria Math" w:hAnsi="Cambria Math" w:cs="Times New Roman"/>
                              <w:color w:val="000000"/>
                              <w:sz w:val="20"/>
                              <w:szCs w:val="20"/>
                            </w:rPr>
                            <m:t>TONI</m:t>
                          </m:r>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A</m:t>
                              </m:r>
                            </m:e>
                            <m:sub>
                              <m:r>
                                <w:rPr>
                                  <w:rFonts w:ascii="Cambria Math" w:hAnsi="Cambria Math" w:cs="Times New Roman"/>
                                  <w:color w:val="000000"/>
                                  <w:sz w:val="20"/>
                                  <w:szCs w:val="20"/>
                                </w:rPr>
                                <m:t>i</m:t>
                              </m:r>
                            </m:sub>
                          </m:sSub>
                          <m:r>
                            <w:rPr>
                              <w:rFonts w:ascii="Cambria Math" w:hAnsi="Cambria Math" w:cs="Times New Roman"/>
                              <w:color w:val="000000"/>
                              <w:sz w:val="20"/>
                              <w:szCs w:val="20"/>
                            </w:rPr>
                            <m:t>×</m:t>
                          </m:r>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n</m:t>
                              </m:r>
                            </m:e>
                            <m:sub>
                              <m:r>
                                <w:rPr>
                                  <w:rFonts w:ascii="Cambria Math" w:hAnsi="Cambria Math" w:cs="Times New Roman"/>
                                  <w:color w:val="000000"/>
                                  <w:sz w:val="20"/>
                                  <w:szCs w:val="20"/>
                                </w:rPr>
                                <m:t>i</m:t>
                              </m:r>
                            </m:sub>
                          </m:sSub>
                        </m:num>
                        <m:den>
                          <m:r>
                            <w:rPr>
                              <w:rFonts w:ascii="Cambria Math" w:hAnsi="Cambria Math" w:cs="Times New Roman"/>
                              <w:color w:val="000000"/>
                              <w:sz w:val="20"/>
                              <w:szCs w:val="20"/>
                            </w:rPr>
                            <m:t>365</m:t>
                          </m:r>
                        </m:den>
                      </m:f>
                    </m:e>
                  </m:d>
                  <m:r>
                    <w:rPr>
                      <w:rFonts w:ascii="Cambria Math" w:hAnsi="Cambria Math" w:cs="Times New Roman"/>
                      <w:color w:val="000000"/>
                      <w:sz w:val="20"/>
                      <w:szCs w:val="20"/>
                    </w:rPr>
                    <m:t>-1</m:t>
                  </m:r>
                </m:e>
              </m:nary>
            </m:e>
          </m:d>
          <m:r>
            <w:rPr>
              <w:rFonts w:ascii="Cambria Math" w:hAnsi="Cambria Math" w:cs="Times New Roman"/>
              <w:color w:val="000000"/>
              <w:sz w:val="20"/>
              <w:szCs w:val="20"/>
            </w:rPr>
            <m:t>×</m:t>
          </m:r>
          <m:f>
            <m:fPr>
              <m:ctrlPr>
                <w:rPr>
                  <w:rFonts w:ascii="Cambria Math" w:hAnsi="Cambria Math" w:cs="Times New Roman"/>
                  <w:i/>
                  <w:color w:val="000000"/>
                  <w:sz w:val="20"/>
                  <w:szCs w:val="20"/>
                </w:rPr>
              </m:ctrlPr>
            </m:fPr>
            <m:num>
              <m:r>
                <w:rPr>
                  <w:rFonts w:ascii="Cambria Math" w:hAnsi="Cambria Math" w:cs="Times New Roman"/>
                  <w:color w:val="000000"/>
                  <w:sz w:val="20"/>
                  <w:szCs w:val="20"/>
                </w:rPr>
                <m:t>365</m:t>
              </m:r>
            </m:num>
            <m:den>
              <m:r>
                <w:rPr>
                  <w:rFonts w:ascii="Cambria Math" w:hAnsi="Cambria Math" w:cs="Times New Roman"/>
                  <w:color w:val="000000"/>
                  <w:sz w:val="20"/>
                  <w:szCs w:val="20"/>
                </w:rPr>
                <m:t>d</m:t>
              </m:r>
            </m:den>
          </m:f>
        </m:oMath>
      </m:oMathPara>
    </w:p>
    <w:p w14:paraId="76DF70B4" w14:textId="77777777" w:rsidR="001F13EB" w:rsidRPr="000E5579" w:rsidRDefault="001F13EB" w:rsidP="001F13EB">
      <w:pPr>
        <w:ind w:firstLine="11"/>
        <w:jc w:val="both"/>
        <w:rPr>
          <w:rFonts w:ascii="Times New Roman" w:hAnsi="Times New Roman" w:cs="Times New Roman"/>
          <w:i/>
          <w:color w:val="000000"/>
          <w:sz w:val="20"/>
          <w:szCs w:val="20"/>
        </w:rPr>
      </w:pPr>
      <w:r w:rsidRPr="000E5579">
        <w:rPr>
          <w:rFonts w:ascii="Times New Roman" w:hAnsi="Times New Roman" w:cs="Times New Roman"/>
          <w:i/>
          <w:color w:val="000000"/>
          <w:sz w:val="20"/>
          <w:szCs w:val="20"/>
        </w:rPr>
        <w:t xml:space="preserve"> Where: </w:t>
      </w:r>
    </w:p>
    <w:p w14:paraId="19EB2E4A" w14:textId="77777777" w:rsidR="00065979" w:rsidRDefault="00065979" w:rsidP="001F13EB">
      <w:pPr>
        <w:ind w:firstLine="11"/>
        <w:jc w:val="both"/>
        <w:rPr>
          <w:rFonts w:ascii="Times New Roman" w:hAnsi="Times New Roman" w:cs="Times New Roman"/>
          <w:color w:val="000000"/>
          <w:sz w:val="20"/>
          <w:szCs w:val="20"/>
        </w:rPr>
      </w:pPr>
    </w:p>
    <w:p w14:paraId="6E5B8DEB" w14:textId="77777777" w:rsidR="00065979" w:rsidRPr="000E5579" w:rsidRDefault="00065979" w:rsidP="00065979">
      <w:pPr>
        <w:ind w:firstLine="11"/>
        <w:jc w:val="both"/>
        <w:rPr>
          <w:rFonts w:ascii="Times New Roman" w:hAnsi="Times New Roman" w:cs="Times New Roman"/>
          <w:color w:val="000000"/>
          <w:sz w:val="20"/>
          <w:szCs w:val="20"/>
        </w:rPr>
      </w:pPr>
      <w:r w:rsidRPr="000D11A0">
        <w:rPr>
          <w:rFonts w:ascii="Times New Roman" w:hAnsi="Times New Roman" w:cs="Times New Roman"/>
          <w:color w:val="000000"/>
          <w:sz w:val="20"/>
          <w:szCs w:val="20"/>
        </w:rPr>
        <w:t>“</w:t>
      </w:r>
      <w:r w:rsidRPr="000D11A0">
        <w:rPr>
          <w:rFonts w:ascii="Times New Roman" w:hAnsi="Times New Roman" w:cs="Times New Roman"/>
          <w:b/>
          <w:i/>
          <w:color w:val="000000"/>
          <w:sz w:val="20"/>
          <w:szCs w:val="20"/>
        </w:rPr>
        <w:t>d</w:t>
      </w:r>
      <w:r w:rsidRPr="000D11A0">
        <w:rPr>
          <w:rFonts w:ascii="Times New Roman" w:hAnsi="Times New Roman" w:cs="Times New Roman"/>
          <w:color w:val="000000"/>
          <w:sz w:val="20"/>
          <w:szCs w:val="20"/>
        </w:rPr>
        <w:t xml:space="preserve">” is the number of calendar days in the relevant </w:t>
      </w:r>
      <w:r>
        <w:rPr>
          <w:rFonts w:ascii="Times New Roman" w:hAnsi="Times New Roman" w:cs="Times New Roman"/>
          <w:color w:val="000000"/>
          <w:sz w:val="20"/>
          <w:szCs w:val="20"/>
        </w:rPr>
        <w:t>Calculation</w:t>
      </w:r>
      <w:r w:rsidRPr="000D11A0">
        <w:rPr>
          <w:rFonts w:ascii="Times New Roman" w:hAnsi="Times New Roman" w:cs="Times New Roman"/>
          <w:color w:val="000000"/>
          <w:sz w:val="20"/>
          <w:szCs w:val="20"/>
        </w:rPr>
        <w:t xml:space="preserve"> </w:t>
      </w:r>
      <w:proofErr w:type="gramStart"/>
      <w:r w:rsidRPr="000D11A0">
        <w:rPr>
          <w:rFonts w:ascii="Times New Roman" w:hAnsi="Times New Roman" w:cs="Times New Roman"/>
          <w:color w:val="000000"/>
          <w:sz w:val="20"/>
          <w:szCs w:val="20"/>
        </w:rPr>
        <w:t>Period;</w:t>
      </w:r>
      <w:proofErr w:type="gramEnd"/>
    </w:p>
    <w:p w14:paraId="314E6937" w14:textId="012BCD7E" w:rsidR="00A66995" w:rsidRDefault="001F13EB" w:rsidP="001F13EB">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w:t>
      </w:r>
      <w:r w:rsidRPr="000E5579">
        <w:rPr>
          <w:rFonts w:ascii="Times New Roman" w:hAnsi="Times New Roman" w:cs="Times New Roman"/>
          <w:b/>
          <w:i/>
          <w:color w:val="000000"/>
          <w:sz w:val="20"/>
          <w:szCs w:val="20"/>
        </w:rPr>
        <w:t>d</w:t>
      </w:r>
      <w:r w:rsidRPr="000E5579">
        <w:rPr>
          <w:rFonts w:ascii="Times New Roman" w:hAnsi="Times New Roman" w:cs="Times New Roman"/>
          <w:b/>
          <w:i/>
          <w:color w:val="000000"/>
          <w:sz w:val="20"/>
          <w:szCs w:val="20"/>
          <w:vertAlign w:val="subscript"/>
        </w:rPr>
        <w:t>o</w:t>
      </w:r>
      <w:r w:rsidRPr="000E5579">
        <w:rPr>
          <w:rFonts w:ascii="Times New Roman" w:hAnsi="Times New Roman" w:cs="Times New Roman"/>
          <w:color w:val="000000"/>
          <w:sz w:val="20"/>
          <w:szCs w:val="20"/>
        </w:rPr>
        <w:t>”</w:t>
      </w:r>
      <w:r w:rsidR="00065979">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 xml:space="preserve">is the number of </w:t>
      </w:r>
      <w:r w:rsidR="00071050">
        <w:rPr>
          <w:rFonts w:ascii="Times New Roman" w:hAnsi="Times New Roman" w:cs="Times New Roman"/>
          <w:color w:val="000000"/>
          <w:sz w:val="20"/>
          <w:szCs w:val="20"/>
        </w:rPr>
        <w:t>Almaty Business Days</w:t>
      </w:r>
      <w:r w:rsidRPr="000E5579">
        <w:rPr>
          <w:rFonts w:ascii="Times New Roman" w:hAnsi="Times New Roman" w:cs="Times New Roman"/>
          <w:color w:val="000000"/>
          <w:sz w:val="20"/>
          <w:szCs w:val="20"/>
        </w:rPr>
        <w:t xml:space="preserve"> in the relevant </w:t>
      </w:r>
      <w:r w:rsidR="00796766">
        <w:rPr>
          <w:rFonts w:ascii="Times New Roman" w:hAnsi="Times New Roman" w:cs="Times New Roman"/>
          <w:color w:val="000000"/>
          <w:sz w:val="20"/>
          <w:szCs w:val="20"/>
        </w:rPr>
        <w:t>Calculation</w:t>
      </w:r>
      <w:r w:rsidR="00796766" w:rsidRPr="000E5579">
        <w:rPr>
          <w:rFonts w:ascii="Times New Roman" w:hAnsi="Times New Roman" w:cs="Times New Roman"/>
          <w:color w:val="000000"/>
          <w:sz w:val="20"/>
          <w:szCs w:val="20"/>
        </w:rPr>
        <w:t xml:space="preserve"> </w:t>
      </w:r>
      <w:proofErr w:type="gramStart"/>
      <w:r w:rsidRPr="000E5579">
        <w:rPr>
          <w:rFonts w:ascii="Times New Roman" w:hAnsi="Times New Roman" w:cs="Times New Roman"/>
          <w:color w:val="000000"/>
          <w:sz w:val="20"/>
          <w:szCs w:val="20"/>
        </w:rPr>
        <w:t>Period;</w:t>
      </w:r>
      <w:proofErr w:type="gramEnd"/>
      <w:r w:rsidRPr="000E5579">
        <w:rPr>
          <w:rFonts w:ascii="Times New Roman" w:hAnsi="Times New Roman" w:cs="Times New Roman"/>
          <w:color w:val="000000"/>
          <w:sz w:val="20"/>
          <w:szCs w:val="20"/>
        </w:rPr>
        <w:t xml:space="preserve"> </w:t>
      </w:r>
    </w:p>
    <w:p w14:paraId="74F395EC" w14:textId="36E65265" w:rsidR="001F13EB" w:rsidRPr="000E5579" w:rsidRDefault="001F13EB" w:rsidP="001F13EB">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lastRenderedPageBreak/>
        <w:t>“</w:t>
      </w:r>
      <w:proofErr w:type="spellStart"/>
      <w:r w:rsidRPr="000E5579">
        <w:rPr>
          <w:rFonts w:ascii="Times New Roman" w:hAnsi="Times New Roman" w:cs="Times New Roman"/>
          <w:b/>
          <w:i/>
          <w:color w:val="000000"/>
          <w:sz w:val="20"/>
          <w:szCs w:val="20"/>
        </w:rPr>
        <w:t>i</w:t>
      </w:r>
      <w:proofErr w:type="spellEnd"/>
      <w:r w:rsidRPr="000E5579">
        <w:rPr>
          <w:rFonts w:ascii="Times New Roman" w:hAnsi="Times New Roman" w:cs="Times New Roman"/>
          <w:color w:val="000000"/>
          <w:sz w:val="20"/>
          <w:szCs w:val="20"/>
        </w:rPr>
        <w:t xml:space="preserve">” is a series of whole numbers from one to </w:t>
      </w:r>
      <w:r w:rsidRPr="000E5579">
        <w:rPr>
          <w:rFonts w:ascii="Times New Roman" w:hAnsi="Times New Roman" w:cs="Times New Roman"/>
          <w:i/>
          <w:color w:val="000000"/>
          <w:sz w:val="20"/>
          <w:szCs w:val="20"/>
        </w:rPr>
        <w:t>d</w:t>
      </w:r>
      <w:r w:rsidRPr="000E5579">
        <w:rPr>
          <w:rFonts w:ascii="Times New Roman" w:hAnsi="Times New Roman" w:cs="Times New Roman"/>
          <w:i/>
          <w:color w:val="000000"/>
          <w:sz w:val="20"/>
          <w:szCs w:val="20"/>
          <w:vertAlign w:val="subscript"/>
        </w:rPr>
        <w:t>o</w:t>
      </w:r>
      <w:r w:rsidRPr="000E5579">
        <w:rPr>
          <w:rFonts w:ascii="Times New Roman" w:hAnsi="Times New Roman" w:cs="Times New Roman"/>
          <w:color w:val="000000"/>
          <w:sz w:val="20"/>
          <w:szCs w:val="20"/>
        </w:rPr>
        <w:t xml:space="preserve">, each representing the relevant </w:t>
      </w:r>
      <w:r w:rsidR="00071050">
        <w:rPr>
          <w:rFonts w:ascii="Times New Roman" w:hAnsi="Times New Roman" w:cs="Times New Roman"/>
          <w:color w:val="000000"/>
          <w:sz w:val="20"/>
          <w:szCs w:val="20"/>
        </w:rPr>
        <w:t>Almaty Business Day</w:t>
      </w:r>
      <w:r w:rsidR="00071050" w:rsidRPr="000E5579">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 xml:space="preserve">in chronological order from, and including, the first </w:t>
      </w:r>
      <w:r w:rsidR="00065979">
        <w:rPr>
          <w:rFonts w:ascii="Times New Roman" w:hAnsi="Times New Roman" w:cs="Times New Roman"/>
          <w:color w:val="000000"/>
          <w:sz w:val="20"/>
          <w:szCs w:val="20"/>
        </w:rPr>
        <w:t>Almaty Business Day</w:t>
      </w:r>
      <w:r w:rsidR="003F5DE5">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 xml:space="preserve">in the relevant </w:t>
      </w:r>
      <w:r w:rsidR="00796766">
        <w:rPr>
          <w:rFonts w:ascii="Times New Roman" w:hAnsi="Times New Roman" w:cs="Times New Roman"/>
          <w:color w:val="000000"/>
          <w:sz w:val="20"/>
          <w:szCs w:val="20"/>
        </w:rPr>
        <w:t>Calculation</w:t>
      </w:r>
      <w:r w:rsidR="00796766" w:rsidRPr="000E5579">
        <w:rPr>
          <w:rFonts w:ascii="Times New Roman" w:hAnsi="Times New Roman" w:cs="Times New Roman"/>
          <w:color w:val="000000"/>
          <w:sz w:val="20"/>
          <w:szCs w:val="20"/>
        </w:rPr>
        <w:t xml:space="preserve"> </w:t>
      </w:r>
      <w:proofErr w:type="gramStart"/>
      <w:r w:rsidRPr="000E5579">
        <w:rPr>
          <w:rFonts w:ascii="Times New Roman" w:hAnsi="Times New Roman" w:cs="Times New Roman"/>
          <w:color w:val="000000"/>
          <w:sz w:val="20"/>
          <w:szCs w:val="20"/>
        </w:rPr>
        <w:t>Period;</w:t>
      </w:r>
      <w:proofErr w:type="gramEnd"/>
      <w:r w:rsidRPr="000E5579">
        <w:rPr>
          <w:rFonts w:ascii="Times New Roman" w:hAnsi="Times New Roman" w:cs="Times New Roman"/>
          <w:color w:val="000000"/>
          <w:sz w:val="20"/>
          <w:szCs w:val="20"/>
        </w:rPr>
        <w:t xml:space="preserve"> </w:t>
      </w:r>
    </w:p>
    <w:p w14:paraId="5085411D" w14:textId="2F66AD55" w:rsidR="003F5DE5" w:rsidRPr="000E5579" w:rsidRDefault="001F13EB" w:rsidP="003F5DE5">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w:t>
      </w:r>
      <w:proofErr w:type="spellStart"/>
      <w:r w:rsidRPr="000E5579">
        <w:rPr>
          <w:rFonts w:ascii="Times New Roman" w:hAnsi="Times New Roman" w:cs="Times New Roman"/>
          <w:b/>
          <w:i/>
          <w:color w:val="000000"/>
          <w:sz w:val="20"/>
          <w:szCs w:val="20"/>
        </w:rPr>
        <w:t>n</w:t>
      </w:r>
      <w:r w:rsidRPr="000E5579">
        <w:rPr>
          <w:rFonts w:ascii="Times New Roman" w:hAnsi="Times New Roman" w:cs="Times New Roman"/>
          <w:b/>
          <w:i/>
          <w:color w:val="000000"/>
          <w:sz w:val="20"/>
          <w:szCs w:val="20"/>
          <w:vertAlign w:val="subscript"/>
        </w:rPr>
        <w:t>i</w:t>
      </w:r>
      <w:proofErr w:type="spellEnd"/>
      <w:r w:rsidRPr="000E5579">
        <w:rPr>
          <w:rFonts w:ascii="Times New Roman" w:hAnsi="Times New Roman" w:cs="Times New Roman"/>
          <w:color w:val="000000"/>
          <w:sz w:val="20"/>
          <w:szCs w:val="20"/>
        </w:rPr>
        <w:t xml:space="preserve">” for any </w:t>
      </w:r>
      <w:r w:rsidR="00C41131">
        <w:rPr>
          <w:rFonts w:ascii="Times New Roman" w:hAnsi="Times New Roman" w:cs="Times New Roman"/>
          <w:color w:val="000000"/>
          <w:sz w:val="20"/>
          <w:szCs w:val="20"/>
        </w:rPr>
        <w:t>Almaty Business Day</w:t>
      </w:r>
      <w:r w:rsidR="00C41131" w:rsidRPr="000E5579">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w:t>
      </w:r>
      <w:proofErr w:type="spellStart"/>
      <w:r w:rsidRPr="000E5579">
        <w:rPr>
          <w:rFonts w:ascii="Times New Roman" w:hAnsi="Times New Roman" w:cs="Times New Roman"/>
          <w:color w:val="000000"/>
          <w:sz w:val="20"/>
          <w:szCs w:val="20"/>
        </w:rPr>
        <w:t>i</w:t>
      </w:r>
      <w:proofErr w:type="spellEnd"/>
      <w:r w:rsidRPr="000E5579">
        <w:rPr>
          <w:rFonts w:ascii="Times New Roman" w:hAnsi="Times New Roman" w:cs="Times New Roman"/>
          <w:color w:val="000000"/>
          <w:sz w:val="20"/>
          <w:szCs w:val="20"/>
        </w:rPr>
        <w:t xml:space="preserve">" in the relevant </w:t>
      </w:r>
      <w:r w:rsidR="00796766">
        <w:rPr>
          <w:rFonts w:ascii="Times New Roman" w:hAnsi="Times New Roman" w:cs="Times New Roman"/>
          <w:color w:val="000000"/>
          <w:sz w:val="20"/>
          <w:szCs w:val="20"/>
        </w:rPr>
        <w:t>Calculation</w:t>
      </w:r>
      <w:r w:rsidR="00796766" w:rsidRPr="000E5579">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 xml:space="preserve">Period, is the number of </w:t>
      </w:r>
      <w:r w:rsidR="000D11A0">
        <w:rPr>
          <w:rFonts w:ascii="Times New Roman" w:hAnsi="Times New Roman" w:cs="Times New Roman"/>
          <w:color w:val="000000"/>
          <w:sz w:val="20"/>
          <w:szCs w:val="20"/>
        </w:rPr>
        <w:t>calendar days</w:t>
      </w:r>
      <w:r w:rsidR="00C41131" w:rsidRPr="000E5579">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from, and including</w:t>
      </w:r>
      <w:r w:rsidR="000D11A0">
        <w:rPr>
          <w:rFonts w:ascii="Times New Roman" w:hAnsi="Times New Roman" w:cs="Times New Roman"/>
          <w:color w:val="000000"/>
          <w:sz w:val="20"/>
          <w:szCs w:val="20"/>
        </w:rPr>
        <w:t>,</w:t>
      </w:r>
      <w:r w:rsidRPr="000E5579">
        <w:rPr>
          <w:rFonts w:ascii="Times New Roman" w:hAnsi="Times New Roman" w:cs="Times New Roman"/>
          <w:color w:val="000000"/>
          <w:sz w:val="20"/>
          <w:szCs w:val="20"/>
        </w:rPr>
        <w:t xml:space="preserve"> such </w:t>
      </w:r>
      <w:r w:rsidR="002963A3" w:rsidRPr="000E5579">
        <w:rPr>
          <w:rFonts w:ascii="Times New Roman" w:hAnsi="Times New Roman" w:cs="Times New Roman"/>
          <w:color w:val="000000"/>
          <w:sz w:val="20"/>
          <w:szCs w:val="20"/>
        </w:rPr>
        <w:t>Almaty Business</w:t>
      </w:r>
      <w:r w:rsidR="002963A3" w:rsidRPr="000E5579" w:rsidDel="00107B82">
        <w:rPr>
          <w:rFonts w:ascii="Times New Roman" w:hAnsi="Times New Roman" w:cs="Times New Roman"/>
          <w:color w:val="000000"/>
          <w:sz w:val="20"/>
          <w:szCs w:val="20"/>
        </w:rPr>
        <w:t xml:space="preserve"> </w:t>
      </w:r>
      <w:r w:rsidR="002963A3" w:rsidRPr="000E5579">
        <w:rPr>
          <w:rFonts w:ascii="Times New Roman" w:hAnsi="Times New Roman" w:cs="Times New Roman"/>
          <w:color w:val="000000"/>
          <w:sz w:val="20"/>
          <w:szCs w:val="20"/>
        </w:rPr>
        <w:t xml:space="preserve">Day </w:t>
      </w:r>
      <w:r w:rsidRPr="000E5579">
        <w:rPr>
          <w:rFonts w:ascii="Times New Roman" w:hAnsi="Times New Roman" w:cs="Times New Roman"/>
          <w:color w:val="000000"/>
          <w:sz w:val="20"/>
          <w:szCs w:val="20"/>
        </w:rPr>
        <w:t>“</w:t>
      </w:r>
      <w:proofErr w:type="spellStart"/>
      <w:r w:rsidRPr="000E5579">
        <w:rPr>
          <w:rFonts w:ascii="Times New Roman" w:hAnsi="Times New Roman" w:cs="Times New Roman"/>
          <w:color w:val="000000"/>
          <w:sz w:val="20"/>
          <w:szCs w:val="20"/>
        </w:rPr>
        <w:t>i</w:t>
      </w:r>
      <w:proofErr w:type="spellEnd"/>
      <w:r w:rsidRPr="000E5579">
        <w:rPr>
          <w:rFonts w:ascii="Times New Roman" w:hAnsi="Times New Roman" w:cs="Times New Roman"/>
          <w:color w:val="000000"/>
          <w:sz w:val="20"/>
          <w:szCs w:val="20"/>
        </w:rPr>
        <w:t xml:space="preserve">" up to, but excluding, the following </w:t>
      </w:r>
      <w:r w:rsidR="00C41131">
        <w:rPr>
          <w:rFonts w:ascii="Times New Roman" w:hAnsi="Times New Roman" w:cs="Times New Roman"/>
          <w:color w:val="000000"/>
          <w:sz w:val="20"/>
          <w:szCs w:val="20"/>
        </w:rPr>
        <w:t xml:space="preserve">Almaty Business </w:t>
      </w:r>
      <w:proofErr w:type="gramStart"/>
      <w:r w:rsidR="00C41131">
        <w:rPr>
          <w:rFonts w:ascii="Times New Roman" w:hAnsi="Times New Roman" w:cs="Times New Roman"/>
          <w:color w:val="000000"/>
          <w:sz w:val="20"/>
          <w:szCs w:val="20"/>
        </w:rPr>
        <w:t>Day</w:t>
      </w:r>
      <w:r w:rsidRPr="000E5579">
        <w:rPr>
          <w:rFonts w:ascii="Times New Roman" w:hAnsi="Times New Roman" w:cs="Times New Roman"/>
          <w:color w:val="000000"/>
          <w:sz w:val="20"/>
          <w:szCs w:val="20"/>
        </w:rPr>
        <w:t>;</w:t>
      </w:r>
      <w:proofErr w:type="gramEnd"/>
      <w:r w:rsidRPr="000E5579">
        <w:rPr>
          <w:rFonts w:ascii="Times New Roman" w:hAnsi="Times New Roman" w:cs="Times New Roman"/>
          <w:color w:val="000000"/>
          <w:sz w:val="20"/>
          <w:szCs w:val="20"/>
        </w:rPr>
        <w:t xml:space="preserve"> </w:t>
      </w:r>
    </w:p>
    <w:p w14:paraId="67628D0C" w14:textId="74B83277" w:rsidR="001F13EB" w:rsidRPr="000E5579" w:rsidRDefault="001F13EB" w:rsidP="001F13EB">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w:t>
      </w:r>
      <w:proofErr w:type="spellStart"/>
      <w:r w:rsidRPr="000E5579">
        <w:rPr>
          <w:rFonts w:ascii="Times New Roman" w:hAnsi="Times New Roman" w:cs="Times New Roman"/>
          <w:b/>
          <w:i/>
          <w:color w:val="000000"/>
          <w:sz w:val="20"/>
          <w:szCs w:val="20"/>
        </w:rPr>
        <w:t>TONIA</w:t>
      </w:r>
      <w:r w:rsidRPr="000E5579">
        <w:rPr>
          <w:rFonts w:ascii="Times New Roman" w:hAnsi="Times New Roman" w:cs="Times New Roman"/>
          <w:b/>
          <w:i/>
          <w:color w:val="000000"/>
          <w:sz w:val="20"/>
          <w:szCs w:val="20"/>
          <w:vertAlign w:val="subscript"/>
        </w:rPr>
        <w:t>i</w:t>
      </w:r>
      <w:proofErr w:type="spellEnd"/>
      <w:r w:rsidRPr="000E5579">
        <w:rPr>
          <w:rFonts w:ascii="Times New Roman" w:hAnsi="Times New Roman" w:cs="Times New Roman"/>
          <w:color w:val="000000"/>
          <w:sz w:val="20"/>
          <w:szCs w:val="20"/>
        </w:rPr>
        <w:t xml:space="preserve">” means the TONIA Reference Rate for the </w:t>
      </w:r>
      <w:r w:rsidR="004C565B">
        <w:rPr>
          <w:rFonts w:ascii="Times New Roman" w:hAnsi="Times New Roman" w:cs="Times New Roman"/>
          <w:color w:val="000000"/>
          <w:sz w:val="20"/>
          <w:szCs w:val="20"/>
        </w:rPr>
        <w:t>Almaty Business</w:t>
      </w:r>
      <w:r w:rsidR="003F5DE5">
        <w:rPr>
          <w:rFonts w:ascii="Times New Roman" w:hAnsi="Times New Roman" w:cs="Times New Roman"/>
          <w:color w:val="000000"/>
          <w:sz w:val="20"/>
          <w:szCs w:val="20"/>
        </w:rPr>
        <w:t xml:space="preserve"> </w:t>
      </w:r>
      <w:r w:rsidR="007B287D">
        <w:rPr>
          <w:rFonts w:ascii="Times New Roman" w:hAnsi="Times New Roman" w:cs="Times New Roman"/>
          <w:color w:val="000000"/>
          <w:sz w:val="20"/>
          <w:szCs w:val="20"/>
        </w:rPr>
        <w:t>D</w:t>
      </w:r>
      <w:r w:rsidR="003F5DE5">
        <w:rPr>
          <w:rFonts w:ascii="Times New Roman" w:hAnsi="Times New Roman" w:cs="Times New Roman"/>
          <w:color w:val="000000"/>
          <w:sz w:val="20"/>
          <w:szCs w:val="20"/>
        </w:rPr>
        <w:t>ay</w:t>
      </w:r>
      <w:r w:rsidRPr="000E5579">
        <w:rPr>
          <w:rFonts w:ascii="Times New Roman" w:hAnsi="Times New Roman" w:cs="Times New Roman"/>
          <w:color w:val="000000"/>
          <w:sz w:val="20"/>
          <w:szCs w:val="20"/>
        </w:rPr>
        <w:t xml:space="preserve"> “</w:t>
      </w:r>
      <w:proofErr w:type="spellStart"/>
      <w:r w:rsidRPr="000E5579">
        <w:rPr>
          <w:rFonts w:ascii="Times New Roman" w:hAnsi="Times New Roman" w:cs="Times New Roman"/>
          <w:color w:val="000000"/>
          <w:sz w:val="20"/>
          <w:szCs w:val="20"/>
        </w:rPr>
        <w:t>i</w:t>
      </w:r>
      <w:proofErr w:type="spellEnd"/>
      <w:r w:rsidRPr="000E5579">
        <w:rPr>
          <w:rFonts w:ascii="Times New Roman" w:hAnsi="Times New Roman" w:cs="Times New Roman"/>
          <w:color w:val="000000"/>
          <w:sz w:val="20"/>
          <w:szCs w:val="20"/>
        </w:rPr>
        <w:t xml:space="preserve">” in the relevant </w:t>
      </w:r>
      <w:r w:rsidR="00796766">
        <w:rPr>
          <w:rFonts w:ascii="Times New Roman" w:hAnsi="Times New Roman" w:cs="Times New Roman"/>
          <w:color w:val="000000"/>
          <w:sz w:val="20"/>
          <w:szCs w:val="20"/>
        </w:rPr>
        <w:t>Calculation</w:t>
      </w:r>
      <w:r w:rsidR="00796766" w:rsidRPr="000E5579">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 xml:space="preserve">Period (and published on the same </w:t>
      </w:r>
      <w:r w:rsidR="007B287D">
        <w:rPr>
          <w:rFonts w:ascii="Times New Roman" w:hAnsi="Times New Roman" w:cs="Times New Roman"/>
          <w:color w:val="000000"/>
          <w:sz w:val="20"/>
          <w:szCs w:val="20"/>
        </w:rPr>
        <w:t>Almaty Business D</w:t>
      </w:r>
      <w:r w:rsidR="003F5DE5">
        <w:rPr>
          <w:rFonts w:ascii="Times New Roman" w:hAnsi="Times New Roman" w:cs="Times New Roman"/>
          <w:color w:val="000000"/>
          <w:sz w:val="20"/>
          <w:szCs w:val="20"/>
        </w:rPr>
        <w:t>ay</w:t>
      </w:r>
      <w:proofErr w:type="gramStart"/>
      <w:r w:rsidRPr="000E5579">
        <w:rPr>
          <w:rFonts w:ascii="Times New Roman" w:hAnsi="Times New Roman" w:cs="Times New Roman"/>
          <w:color w:val="000000"/>
          <w:sz w:val="20"/>
          <w:szCs w:val="20"/>
        </w:rPr>
        <w:t>);</w:t>
      </w:r>
      <w:proofErr w:type="gramEnd"/>
    </w:p>
    <w:p w14:paraId="4AC9F7C6" w14:textId="3F8E04E1" w:rsidR="001F13EB" w:rsidRPr="000E5579" w:rsidRDefault="001F13EB" w:rsidP="001F13EB">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w:t>
      </w:r>
      <w:r w:rsidRPr="00534CD5">
        <w:rPr>
          <w:rFonts w:ascii="Times New Roman" w:hAnsi="Times New Roman" w:cs="Times New Roman"/>
          <w:b/>
          <w:i/>
          <w:iCs/>
          <w:color w:val="000000"/>
          <w:sz w:val="20"/>
          <w:szCs w:val="20"/>
        </w:rPr>
        <w:t>TONIA Reference Rate</w:t>
      </w:r>
      <w:r w:rsidRPr="000E5579">
        <w:rPr>
          <w:rFonts w:ascii="Times New Roman" w:hAnsi="Times New Roman" w:cs="Times New Roman"/>
          <w:color w:val="000000"/>
          <w:sz w:val="20"/>
          <w:szCs w:val="20"/>
        </w:rPr>
        <w:t xml:space="preserve">”, </w:t>
      </w:r>
      <w:r w:rsidR="004C565B" w:rsidRPr="00D42EAD">
        <w:rPr>
          <w:rFonts w:ascii="Times New Roman" w:hAnsi="Times New Roman" w:cs="Times New Roman"/>
          <w:color w:val="000000"/>
          <w:sz w:val="20"/>
          <w:szCs w:val="20"/>
        </w:rPr>
        <w:t>for any day “</w:t>
      </w:r>
      <w:proofErr w:type="spellStart"/>
      <w:r w:rsidR="004C565B" w:rsidRPr="00D42EAD">
        <w:rPr>
          <w:rFonts w:ascii="Times New Roman" w:hAnsi="Times New Roman" w:cs="Times New Roman"/>
          <w:color w:val="000000"/>
          <w:sz w:val="20"/>
          <w:szCs w:val="20"/>
        </w:rPr>
        <w:t>i</w:t>
      </w:r>
      <w:proofErr w:type="spellEnd"/>
      <w:r w:rsidR="004C565B" w:rsidRPr="00D42EAD">
        <w:rPr>
          <w:rFonts w:ascii="Times New Roman" w:hAnsi="Times New Roman" w:cs="Times New Roman"/>
          <w:color w:val="000000"/>
          <w:sz w:val="20"/>
          <w:szCs w:val="20"/>
        </w:rPr>
        <w:t xml:space="preserve">” in the relevant </w:t>
      </w:r>
      <w:r w:rsidR="00796766">
        <w:rPr>
          <w:rFonts w:ascii="Times New Roman" w:hAnsi="Times New Roman" w:cs="Times New Roman"/>
          <w:color w:val="000000"/>
          <w:sz w:val="20"/>
          <w:szCs w:val="20"/>
        </w:rPr>
        <w:t>Calculation</w:t>
      </w:r>
      <w:r w:rsidR="00796766" w:rsidRPr="00D42EAD">
        <w:rPr>
          <w:rFonts w:ascii="Times New Roman" w:hAnsi="Times New Roman" w:cs="Times New Roman"/>
          <w:color w:val="000000"/>
          <w:sz w:val="20"/>
          <w:szCs w:val="20"/>
        </w:rPr>
        <w:t xml:space="preserve"> </w:t>
      </w:r>
      <w:r w:rsidR="004C565B" w:rsidRPr="00D42EAD">
        <w:rPr>
          <w:rFonts w:ascii="Times New Roman" w:hAnsi="Times New Roman" w:cs="Times New Roman"/>
          <w:color w:val="000000"/>
          <w:sz w:val="20"/>
          <w:szCs w:val="20"/>
        </w:rPr>
        <w:t>Period</w:t>
      </w:r>
      <w:r w:rsidR="003F5DE5" w:rsidRPr="003F5DE5">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 xml:space="preserve">is a reference rate equal to the daily Tenge </w:t>
      </w:r>
      <w:proofErr w:type="spellStart"/>
      <w:r w:rsidRPr="000E5579">
        <w:rPr>
          <w:rFonts w:ascii="Times New Roman" w:hAnsi="Times New Roman" w:cs="Times New Roman"/>
          <w:color w:val="000000"/>
          <w:sz w:val="20"/>
          <w:szCs w:val="20"/>
        </w:rPr>
        <w:t>OverNight</w:t>
      </w:r>
      <w:proofErr w:type="spellEnd"/>
      <w:r w:rsidRPr="000E5579">
        <w:rPr>
          <w:rFonts w:ascii="Times New Roman" w:hAnsi="Times New Roman" w:cs="Times New Roman"/>
          <w:color w:val="000000"/>
          <w:sz w:val="20"/>
          <w:szCs w:val="20"/>
        </w:rPr>
        <w:t xml:space="preserve"> Index Average (“</w:t>
      </w:r>
      <w:r w:rsidRPr="000E5579">
        <w:rPr>
          <w:rFonts w:ascii="Times New Roman" w:hAnsi="Times New Roman" w:cs="Times New Roman"/>
          <w:b/>
          <w:color w:val="000000"/>
          <w:sz w:val="20"/>
          <w:szCs w:val="20"/>
        </w:rPr>
        <w:t>TONIA</w:t>
      </w:r>
      <w:r w:rsidRPr="000E5579">
        <w:rPr>
          <w:rFonts w:ascii="Times New Roman" w:hAnsi="Times New Roman" w:cs="Times New Roman"/>
          <w:color w:val="000000"/>
          <w:sz w:val="20"/>
          <w:szCs w:val="20"/>
        </w:rPr>
        <w:t>”) rate for such day as published by the Kazakhstan Stock Exchange (“</w:t>
      </w:r>
      <w:r w:rsidRPr="000E5579">
        <w:rPr>
          <w:rFonts w:ascii="Times New Roman" w:hAnsi="Times New Roman" w:cs="Times New Roman"/>
          <w:b/>
          <w:color w:val="000000"/>
          <w:sz w:val="20"/>
          <w:szCs w:val="20"/>
        </w:rPr>
        <w:t>KASE</w:t>
      </w:r>
      <w:r w:rsidRPr="000E5579">
        <w:rPr>
          <w:rFonts w:ascii="Times New Roman" w:hAnsi="Times New Roman" w:cs="Times New Roman"/>
          <w:color w:val="000000"/>
          <w:sz w:val="20"/>
          <w:szCs w:val="20"/>
        </w:rPr>
        <w:t>”) on or before 8:00 p.m. (Almaty time) on the “TONIA” page on the KASE’s website (https://kase.kz/en/money_market/repo-indicators/tonia/) (the “</w:t>
      </w:r>
      <w:r w:rsidRPr="000E5579">
        <w:rPr>
          <w:rFonts w:ascii="Times New Roman" w:hAnsi="Times New Roman" w:cs="Times New Roman"/>
          <w:b/>
          <w:color w:val="000000"/>
          <w:sz w:val="20"/>
          <w:szCs w:val="20"/>
        </w:rPr>
        <w:t>TONIA Screen Page</w:t>
      </w:r>
      <w:r w:rsidRPr="000E5579">
        <w:rPr>
          <w:rFonts w:ascii="Times New Roman" w:hAnsi="Times New Roman" w:cs="Times New Roman"/>
          <w:color w:val="000000"/>
          <w:sz w:val="20"/>
          <w:szCs w:val="20"/>
        </w:rPr>
        <w:t>”)</w:t>
      </w:r>
      <w:r w:rsidR="00367C74">
        <w:rPr>
          <w:rFonts w:ascii="Times New Roman" w:hAnsi="Times New Roman" w:cs="Times New Roman"/>
          <w:color w:val="000000"/>
          <w:sz w:val="20"/>
          <w:szCs w:val="20"/>
        </w:rPr>
        <w:t>;</w:t>
      </w:r>
    </w:p>
    <w:p w14:paraId="21B51C28" w14:textId="3C05DE02" w:rsidR="00065979" w:rsidRDefault="00065979" w:rsidP="001F13EB">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w:t>
      </w:r>
      <w:r w:rsidRPr="000E5579">
        <w:rPr>
          <w:rFonts w:ascii="Times New Roman" w:hAnsi="Times New Roman" w:cs="Times New Roman"/>
          <w:b/>
          <w:color w:val="000000"/>
          <w:sz w:val="20"/>
          <w:szCs w:val="20"/>
        </w:rPr>
        <w:t>Almaty Business Day</w:t>
      </w:r>
      <w:r w:rsidRPr="000E5579">
        <w:rPr>
          <w:rFonts w:ascii="Times New Roman" w:hAnsi="Times New Roman" w:cs="Times New Roman"/>
          <w:color w:val="000000"/>
          <w:sz w:val="20"/>
          <w:szCs w:val="20"/>
        </w:rPr>
        <w:t>” means any day on which commercial banks and foreign exchange markets settle payments and are open for general business (including dealings in foreign exchange and foreign currency deposits) in Almaty, Kazakhstan.</w:t>
      </w:r>
    </w:p>
    <w:p w14:paraId="5E135549" w14:textId="51721C50" w:rsidR="004C565B" w:rsidRDefault="001F13EB" w:rsidP="001F13EB">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For the purposes of this Confirmation,</w:t>
      </w:r>
      <w:r w:rsidR="003F5DE5" w:rsidRPr="003F5DE5">
        <w:rPr>
          <w:rFonts w:ascii="Times New Roman" w:hAnsi="Times New Roman" w:cs="Times New Roman"/>
          <w:color w:val="000000"/>
          <w:sz w:val="20"/>
          <w:szCs w:val="20"/>
        </w:rPr>
        <w:t xml:space="preserve"> </w:t>
      </w:r>
      <w:r w:rsidR="00071050">
        <w:rPr>
          <w:rFonts w:ascii="Times New Roman" w:hAnsi="Times New Roman" w:cs="Times New Roman"/>
          <w:color w:val="000000"/>
          <w:sz w:val="20"/>
          <w:szCs w:val="20"/>
        </w:rPr>
        <w:t>“</w:t>
      </w:r>
      <w:r w:rsidR="00071050" w:rsidRPr="00071050">
        <w:rPr>
          <w:rFonts w:ascii="Times New Roman" w:hAnsi="Times New Roman" w:cs="Times New Roman"/>
          <w:b/>
          <w:bCs/>
          <w:color w:val="000000"/>
          <w:sz w:val="20"/>
          <w:szCs w:val="20"/>
        </w:rPr>
        <w:t>Relevant Screen Page</w:t>
      </w:r>
      <w:r w:rsidR="00071050">
        <w:rPr>
          <w:rFonts w:ascii="Times New Roman" w:hAnsi="Times New Roman" w:cs="Times New Roman"/>
          <w:color w:val="000000"/>
          <w:sz w:val="20"/>
          <w:szCs w:val="20"/>
        </w:rPr>
        <w:t xml:space="preserve">” or </w:t>
      </w:r>
      <w:r w:rsidRPr="000E5579">
        <w:rPr>
          <w:rFonts w:ascii="Times New Roman" w:hAnsi="Times New Roman" w:cs="Times New Roman"/>
          <w:color w:val="000000"/>
          <w:sz w:val="20"/>
          <w:szCs w:val="20"/>
        </w:rPr>
        <w:t>“</w:t>
      </w:r>
      <w:r w:rsidRPr="000E5579">
        <w:rPr>
          <w:rFonts w:ascii="Times New Roman" w:hAnsi="Times New Roman" w:cs="Times New Roman"/>
          <w:b/>
          <w:color w:val="000000"/>
          <w:sz w:val="20"/>
          <w:szCs w:val="20"/>
        </w:rPr>
        <w:t>TONIA Screen Page</w:t>
      </w:r>
      <w:r w:rsidRPr="000E5579">
        <w:rPr>
          <w:rFonts w:ascii="Times New Roman" w:hAnsi="Times New Roman" w:cs="Times New Roman"/>
          <w:color w:val="000000"/>
          <w:sz w:val="20"/>
          <w:szCs w:val="20"/>
        </w:rPr>
        <w:t>” means, when used in connection with any designated page, the display page so designated by the KASE, or (</w:t>
      </w:r>
      <w:proofErr w:type="spellStart"/>
      <w:r w:rsidRPr="000E5579">
        <w:rPr>
          <w:rFonts w:ascii="Times New Roman" w:hAnsi="Times New Roman" w:cs="Times New Roman"/>
          <w:color w:val="000000"/>
          <w:sz w:val="20"/>
          <w:szCs w:val="20"/>
        </w:rPr>
        <w:t>i</w:t>
      </w:r>
      <w:proofErr w:type="spellEnd"/>
      <w:r w:rsidRPr="000E5579">
        <w:rPr>
          <w:rFonts w:ascii="Times New Roman" w:hAnsi="Times New Roman" w:cs="Times New Roman"/>
          <w:color w:val="000000"/>
          <w:sz w:val="20"/>
          <w:szCs w:val="20"/>
        </w:rPr>
        <w:t>) any successor display page, other published source, information vendor or provider that has been officially designated by the sponsor of the original page or source; or (ii) if the sponsor has not officially designated a successor display page, another published source, service or provider (as the case may be), the successor display page, other published source, service or provider, if any, designated by the relevant information vendor or provider (if different from the sponsor).</w:t>
      </w:r>
      <w:r w:rsidR="004C565B">
        <w:rPr>
          <w:rFonts w:ascii="Times New Roman" w:hAnsi="Times New Roman" w:cs="Times New Roman"/>
          <w:color w:val="000000"/>
          <w:sz w:val="20"/>
          <w:szCs w:val="20"/>
        </w:rPr>
        <w:t xml:space="preserve"> </w:t>
      </w:r>
    </w:p>
    <w:p w14:paraId="41334EC8" w14:textId="4F1179B3" w:rsidR="001F13EB" w:rsidRPr="000E5579" w:rsidRDefault="001F13EB" w:rsidP="001F13EB">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If, in respect of any Almaty Business</w:t>
      </w:r>
      <w:r w:rsidRPr="000E5579" w:rsidDel="00107B82">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 xml:space="preserve">Day in the relevant </w:t>
      </w:r>
      <w:r w:rsidR="007D2617">
        <w:rPr>
          <w:rFonts w:ascii="Times New Roman" w:hAnsi="Times New Roman" w:cs="Times New Roman"/>
          <w:color w:val="000000"/>
          <w:sz w:val="20"/>
          <w:szCs w:val="20"/>
        </w:rPr>
        <w:t>Calculation</w:t>
      </w:r>
      <w:r w:rsidRPr="000E5579">
        <w:rPr>
          <w:rFonts w:ascii="Times New Roman" w:hAnsi="Times New Roman" w:cs="Times New Roman"/>
          <w:color w:val="000000"/>
          <w:sz w:val="20"/>
          <w:szCs w:val="20"/>
        </w:rPr>
        <w:t xml:space="preserve"> Period, the Calculation Agent determines that the TONIA Reference Rate is not available on the TONIA Screen Page or any successor page or website of the KASE or successor administrator for the purposes of publishing the TONIA Reference Rate, such TONIA Reference Rate shall be (</w:t>
      </w:r>
      <w:proofErr w:type="spellStart"/>
      <w:r w:rsidRPr="000E5579">
        <w:rPr>
          <w:rFonts w:ascii="Times New Roman" w:hAnsi="Times New Roman" w:cs="Times New Roman"/>
          <w:color w:val="000000"/>
          <w:sz w:val="20"/>
          <w:szCs w:val="20"/>
        </w:rPr>
        <w:t>i</w:t>
      </w:r>
      <w:proofErr w:type="spellEnd"/>
      <w:r w:rsidRPr="000E5579">
        <w:rPr>
          <w:rFonts w:ascii="Times New Roman" w:hAnsi="Times New Roman" w:cs="Times New Roman"/>
          <w:color w:val="000000"/>
          <w:sz w:val="20"/>
          <w:szCs w:val="20"/>
        </w:rPr>
        <w:t>)(a) the National Bank of Kazakhstan’s (“</w:t>
      </w:r>
      <w:r w:rsidRPr="000E5579">
        <w:rPr>
          <w:rFonts w:ascii="Times New Roman" w:hAnsi="Times New Roman" w:cs="Times New Roman"/>
          <w:b/>
          <w:color w:val="000000"/>
          <w:sz w:val="20"/>
          <w:szCs w:val="20"/>
        </w:rPr>
        <w:t>NBK</w:t>
      </w:r>
      <w:r w:rsidRPr="000E5579">
        <w:rPr>
          <w:rFonts w:ascii="Times New Roman" w:hAnsi="Times New Roman" w:cs="Times New Roman"/>
          <w:color w:val="000000"/>
          <w:sz w:val="20"/>
          <w:szCs w:val="20"/>
        </w:rPr>
        <w:t>”) Base Interest Rate (the “</w:t>
      </w:r>
      <w:r w:rsidRPr="000E5579">
        <w:rPr>
          <w:rFonts w:ascii="Times New Roman" w:hAnsi="Times New Roman" w:cs="Times New Roman"/>
          <w:b/>
          <w:color w:val="000000"/>
          <w:sz w:val="20"/>
          <w:szCs w:val="20"/>
        </w:rPr>
        <w:t>Base Rate</w:t>
      </w:r>
      <w:r w:rsidRPr="000E5579">
        <w:rPr>
          <w:rFonts w:ascii="Times New Roman" w:hAnsi="Times New Roman" w:cs="Times New Roman"/>
          <w:color w:val="000000"/>
          <w:sz w:val="20"/>
          <w:szCs w:val="20"/>
        </w:rPr>
        <w:t>”) prevailing at close of business on such Almaty Business</w:t>
      </w:r>
      <w:r w:rsidRPr="000E5579" w:rsidDel="00107B82">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Day (as published on the NBK’s website: https://nationalbank.kz/en (the “</w:t>
      </w:r>
      <w:r w:rsidRPr="000E5579">
        <w:rPr>
          <w:rFonts w:ascii="Times New Roman" w:hAnsi="Times New Roman" w:cs="Times New Roman"/>
          <w:b/>
          <w:color w:val="000000"/>
          <w:sz w:val="20"/>
          <w:szCs w:val="20"/>
        </w:rPr>
        <w:t>NBK Website</w:t>
      </w:r>
      <w:r w:rsidRPr="000E5579">
        <w:rPr>
          <w:rFonts w:ascii="Times New Roman" w:hAnsi="Times New Roman" w:cs="Times New Roman"/>
          <w:color w:val="000000"/>
          <w:sz w:val="20"/>
          <w:szCs w:val="20"/>
        </w:rPr>
        <w:t>”)), or (b) if the Base Rate is not published by the NBK at close of business on such Almaty Business</w:t>
      </w:r>
      <w:r w:rsidRPr="000E5579" w:rsidDel="00107B82">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Day, the Base Rate prevailing on the last Almaty Business</w:t>
      </w:r>
      <w:r w:rsidRPr="000E5579" w:rsidDel="00107B82">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Day on which the Base Rate was published on the NBK Website; plus (ii) the mean of the spread of the TONIA Reference Rate to the Base Rate over the previous five days on which a TONIA Reference Rate has been published, excluding the highest spread (or, if there is more than one highest spread, one only of those highest spreads) and the lowest spread (or, if there is more than one lowest spread, one only of those lowest spreads) to the Base Rate.</w:t>
      </w:r>
    </w:p>
    <w:p w14:paraId="68621F0D" w14:textId="560CA4A6" w:rsidR="001F13EB" w:rsidRPr="000E5579" w:rsidRDefault="001F13EB" w:rsidP="001F13EB">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Notwithstanding the paragraph above, if the NBK publishes guidance as to (</w:t>
      </w:r>
      <w:proofErr w:type="spellStart"/>
      <w:r w:rsidRPr="000E5579">
        <w:rPr>
          <w:rFonts w:ascii="Times New Roman" w:hAnsi="Times New Roman" w:cs="Times New Roman"/>
          <w:color w:val="000000"/>
          <w:sz w:val="20"/>
          <w:szCs w:val="20"/>
        </w:rPr>
        <w:t>i</w:t>
      </w:r>
      <w:proofErr w:type="spellEnd"/>
      <w:r w:rsidRPr="000E5579">
        <w:rPr>
          <w:rFonts w:ascii="Times New Roman" w:hAnsi="Times New Roman" w:cs="Times New Roman"/>
          <w:color w:val="000000"/>
          <w:sz w:val="20"/>
          <w:szCs w:val="20"/>
        </w:rPr>
        <w:t>) how the TONIA Reference Rate is to be determined or (ii) any rate that is to replace the TONIA Reference Rate, the Calculation Agent shall, to the extent that it is reasonably practicable, follow such guidance in order to determine TONIA for the purposes of this Transaction for so long as the TONIA Reference Rate is not available or has not been published by the KASE or other replacement source</w:t>
      </w:r>
      <w:r w:rsidR="002963A3" w:rsidRPr="002963A3">
        <w:rPr>
          <w:rFonts w:ascii="Times New Roman" w:hAnsi="Times New Roman" w:cs="Times New Roman"/>
          <w:color w:val="000000"/>
          <w:sz w:val="20"/>
          <w:szCs w:val="20"/>
        </w:rPr>
        <w:t xml:space="preserve"> </w:t>
      </w:r>
      <w:r w:rsidR="002963A3" w:rsidRPr="000E5579">
        <w:rPr>
          <w:rFonts w:ascii="Times New Roman" w:hAnsi="Times New Roman" w:cs="Times New Roman"/>
          <w:color w:val="000000"/>
          <w:sz w:val="20"/>
          <w:szCs w:val="20"/>
        </w:rPr>
        <w:t>; and</w:t>
      </w:r>
    </w:p>
    <w:p w14:paraId="174E321B" w14:textId="3E1563B9" w:rsidR="001F13EB" w:rsidRPr="000E5579" w:rsidRDefault="001F13EB" w:rsidP="001F13EB">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If the TONIA Reference Rate ceases to exist, and the Calculation Agent determines that there is no industry accepted successor base rate for derivative market instruments linked to the TONIA Reference Rate, and that no substitute or other successor base rate is comparable to the TONIA Reference Rate, the Floating Rate will be determined by the Calculation Agent as the Base Rate last published by the NBK and appearing on the NBK Website at 8:00 pm (Almaty time) on the relevant Floating Rate II Reset Date</w:t>
      </w:r>
      <w:r w:rsidR="002963A3">
        <w:rPr>
          <w:rFonts w:ascii="Times New Roman" w:hAnsi="Times New Roman" w:cs="Times New Roman"/>
          <w:color w:val="000000"/>
          <w:sz w:val="20"/>
          <w:szCs w:val="20"/>
        </w:rPr>
        <w:t>.</w:t>
      </w:r>
    </w:p>
    <w:p w14:paraId="5B39B436" w14:textId="77777777" w:rsidR="005D7D19" w:rsidRDefault="005D7D19" w:rsidP="005D7D19">
      <w:pPr>
        <w:tabs>
          <w:tab w:val="left" w:pos="4320"/>
        </w:tabs>
        <w:jc w:val="both"/>
        <w:rPr>
          <w:rFonts w:ascii="Times New Roman" w:hAnsi="Times New Roman" w:cs="Times New Roman"/>
          <w:color w:val="000000"/>
          <w:sz w:val="20"/>
          <w:szCs w:val="20"/>
        </w:rPr>
      </w:pPr>
    </w:p>
    <w:p w14:paraId="65731DDD" w14:textId="366EFF02" w:rsidR="005D7D19" w:rsidRPr="005D7D19" w:rsidRDefault="005D7D19" w:rsidP="005D7D19">
      <w:pPr>
        <w:tabs>
          <w:tab w:val="left" w:pos="4320"/>
        </w:tabs>
        <w:jc w:val="both"/>
        <w:rPr>
          <w:rFonts w:ascii="Times New Roman" w:hAnsi="Times New Roman" w:cs="Times New Roman"/>
          <w:color w:val="000000"/>
          <w:sz w:val="20"/>
          <w:szCs w:val="20"/>
        </w:rPr>
      </w:pPr>
      <w:r w:rsidRPr="005D7D19">
        <w:rPr>
          <w:rFonts w:ascii="Times New Roman" w:hAnsi="Times New Roman" w:cs="Times New Roman"/>
          <w:color w:val="000000"/>
          <w:sz w:val="20"/>
          <w:szCs w:val="20"/>
        </w:rPr>
        <w:t>Designated Maturity:</w:t>
      </w:r>
      <w:r w:rsidRPr="005D7D19">
        <w:rPr>
          <w:rFonts w:ascii="Times New Roman" w:hAnsi="Times New Roman" w:cs="Times New Roman"/>
          <w:color w:val="000000"/>
          <w:sz w:val="20"/>
          <w:szCs w:val="20"/>
        </w:rPr>
        <w:tab/>
        <w:t>Not applicable</w:t>
      </w:r>
    </w:p>
    <w:p w14:paraId="17143B22" w14:textId="676A2B98" w:rsidR="005D7D19" w:rsidRPr="005D7D19" w:rsidRDefault="005D7D19" w:rsidP="005D7D19">
      <w:pPr>
        <w:tabs>
          <w:tab w:val="left" w:pos="4320"/>
        </w:tabs>
        <w:jc w:val="both"/>
        <w:rPr>
          <w:rFonts w:ascii="Times New Roman" w:hAnsi="Times New Roman" w:cs="Times New Roman"/>
          <w:color w:val="000000"/>
          <w:sz w:val="20"/>
          <w:szCs w:val="20"/>
        </w:rPr>
      </w:pPr>
      <w:r w:rsidRPr="005D7D19">
        <w:rPr>
          <w:rFonts w:ascii="Times New Roman" w:hAnsi="Times New Roman" w:cs="Times New Roman"/>
          <w:color w:val="000000"/>
          <w:sz w:val="20"/>
          <w:szCs w:val="20"/>
        </w:rPr>
        <w:t>Spread:</w:t>
      </w:r>
      <w:r w:rsidRPr="005D7D19">
        <w:rPr>
          <w:rFonts w:ascii="Times New Roman" w:hAnsi="Times New Roman" w:cs="Times New Roman"/>
          <w:color w:val="000000"/>
          <w:sz w:val="20"/>
          <w:szCs w:val="20"/>
        </w:rPr>
        <w:tab/>
        <w:t>[•]</w:t>
      </w:r>
    </w:p>
    <w:p w14:paraId="28C94218" w14:textId="52675F36" w:rsidR="005D7D19" w:rsidRPr="005D7D19" w:rsidRDefault="005D7D19" w:rsidP="005D7D19">
      <w:pPr>
        <w:tabs>
          <w:tab w:val="left" w:pos="4320"/>
        </w:tabs>
        <w:jc w:val="both"/>
        <w:rPr>
          <w:rFonts w:ascii="Times New Roman" w:hAnsi="Times New Roman" w:cs="Times New Roman"/>
          <w:color w:val="000000"/>
          <w:sz w:val="20"/>
          <w:szCs w:val="20"/>
        </w:rPr>
      </w:pPr>
      <w:r w:rsidRPr="005D7D19">
        <w:rPr>
          <w:rFonts w:ascii="Times New Roman" w:hAnsi="Times New Roman" w:cs="Times New Roman"/>
          <w:color w:val="000000"/>
          <w:sz w:val="20"/>
          <w:szCs w:val="20"/>
        </w:rPr>
        <w:t xml:space="preserve">Floating Rate </w:t>
      </w:r>
      <w:r w:rsidR="001F2F43">
        <w:rPr>
          <w:rFonts w:ascii="Times New Roman" w:hAnsi="Times New Roman" w:cs="Times New Roman"/>
          <w:color w:val="000000"/>
          <w:sz w:val="20"/>
          <w:szCs w:val="20"/>
        </w:rPr>
        <w:t>II</w:t>
      </w:r>
      <w:r w:rsidRPr="005D7D19">
        <w:rPr>
          <w:rFonts w:ascii="Times New Roman" w:hAnsi="Times New Roman" w:cs="Times New Roman"/>
          <w:color w:val="000000"/>
          <w:sz w:val="20"/>
          <w:szCs w:val="20"/>
        </w:rPr>
        <w:t xml:space="preserve"> Day Count Fraction:</w:t>
      </w:r>
      <w:r w:rsidRPr="005D7D19">
        <w:rPr>
          <w:rFonts w:ascii="Times New Roman" w:hAnsi="Times New Roman" w:cs="Times New Roman"/>
          <w:color w:val="000000"/>
          <w:sz w:val="20"/>
          <w:szCs w:val="20"/>
        </w:rPr>
        <w:tab/>
        <w:t>Actual/365</w:t>
      </w:r>
    </w:p>
    <w:p w14:paraId="325AD956" w14:textId="42EE0CE3" w:rsidR="001F2F43" w:rsidRDefault="005D7D19" w:rsidP="007E43AD">
      <w:pPr>
        <w:tabs>
          <w:tab w:val="left" w:pos="4320"/>
        </w:tabs>
        <w:ind w:left="4320" w:hanging="4320"/>
        <w:jc w:val="both"/>
        <w:rPr>
          <w:rFonts w:ascii="Times New Roman" w:hAnsi="Times New Roman" w:cs="Times New Roman"/>
          <w:color w:val="000000"/>
          <w:sz w:val="20"/>
          <w:szCs w:val="20"/>
        </w:rPr>
      </w:pPr>
      <w:r w:rsidRPr="005D7D19">
        <w:rPr>
          <w:rFonts w:ascii="Times New Roman" w:hAnsi="Times New Roman" w:cs="Times New Roman"/>
          <w:color w:val="000000"/>
          <w:sz w:val="20"/>
          <w:szCs w:val="20"/>
        </w:rPr>
        <w:t xml:space="preserve">Floating Rate </w:t>
      </w:r>
      <w:r w:rsidR="001F2F43">
        <w:rPr>
          <w:rFonts w:ascii="Times New Roman" w:hAnsi="Times New Roman" w:cs="Times New Roman"/>
          <w:color w:val="000000"/>
          <w:sz w:val="20"/>
          <w:szCs w:val="20"/>
        </w:rPr>
        <w:t>II</w:t>
      </w:r>
      <w:r w:rsidRPr="005D7D19">
        <w:rPr>
          <w:rFonts w:ascii="Times New Roman" w:hAnsi="Times New Roman" w:cs="Times New Roman"/>
          <w:color w:val="000000"/>
          <w:sz w:val="20"/>
          <w:szCs w:val="20"/>
        </w:rPr>
        <w:t xml:space="preserve"> Reset Dates:</w:t>
      </w:r>
      <w:r w:rsidRPr="005D7D19">
        <w:rPr>
          <w:rFonts w:ascii="Times New Roman" w:hAnsi="Times New Roman" w:cs="Times New Roman"/>
          <w:color w:val="000000"/>
          <w:sz w:val="20"/>
          <w:szCs w:val="20"/>
        </w:rPr>
        <w:tab/>
      </w:r>
      <w:r w:rsidR="00C83F86">
        <w:rPr>
          <w:rFonts w:ascii="Times New Roman" w:hAnsi="Times New Roman" w:cs="Times New Roman"/>
          <w:color w:val="000000"/>
          <w:sz w:val="20"/>
          <w:szCs w:val="20"/>
        </w:rPr>
        <w:t xml:space="preserve">The </w:t>
      </w:r>
      <w:r w:rsidR="00EB2218">
        <w:rPr>
          <w:rFonts w:ascii="Times New Roman" w:hAnsi="Times New Roman" w:cs="Times New Roman"/>
          <w:color w:val="000000"/>
          <w:sz w:val="20"/>
          <w:szCs w:val="20"/>
        </w:rPr>
        <w:t>last</w:t>
      </w:r>
      <w:r w:rsidR="00C83F86">
        <w:rPr>
          <w:rFonts w:ascii="Times New Roman" w:hAnsi="Times New Roman" w:cs="Times New Roman"/>
          <w:color w:val="000000"/>
          <w:sz w:val="20"/>
          <w:szCs w:val="20"/>
        </w:rPr>
        <w:t xml:space="preserve"> Business </w:t>
      </w:r>
      <w:r w:rsidR="00EB2218">
        <w:rPr>
          <w:rFonts w:ascii="Times New Roman" w:hAnsi="Times New Roman" w:cs="Times New Roman"/>
          <w:color w:val="000000"/>
          <w:sz w:val="20"/>
          <w:szCs w:val="20"/>
        </w:rPr>
        <w:t>D</w:t>
      </w:r>
      <w:r w:rsidR="00C83F86">
        <w:rPr>
          <w:rFonts w:ascii="Times New Roman" w:hAnsi="Times New Roman" w:cs="Times New Roman"/>
          <w:color w:val="000000"/>
          <w:sz w:val="20"/>
          <w:szCs w:val="20"/>
        </w:rPr>
        <w:t>ay in each</w:t>
      </w:r>
      <w:r w:rsidRPr="005D7D19">
        <w:rPr>
          <w:rFonts w:ascii="Times New Roman" w:hAnsi="Times New Roman" w:cs="Times New Roman"/>
          <w:color w:val="000000"/>
          <w:sz w:val="20"/>
          <w:szCs w:val="20"/>
        </w:rPr>
        <w:t xml:space="preserve"> Calculation Period</w:t>
      </w:r>
    </w:p>
    <w:p w14:paraId="533458A1" w14:textId="77777777" w:rsidR="00EB2218" w:rsidRDefault="00EB2218" w:rsidP="00EB2218">
      <w:pPr>
        <w:tabs>
          <w:tab w:val="left" w:pos="4320"/>
        </w:tabs>
        <w:jc w:val="both"/>
        <w:rPr>
          <w:rFonts w:ascii="Times New Roman" w:hAnsi="Times New Roman" w:cs="Times New Roman"/>
          <w:color w:val="000000"/>
          <w:sz w:val="20"/>
          <w:szCs w:val="20"/>
        </w:rPr>
      </w:pPr>
    </w:p>
    <w:p w14:paraId="5AD67AD0" w14:textId="15EDA86B" w:rsidR="00EB2218" w:rsidRDefault="001F2F43" w:rsidP="00EB2218">
      <w:pPr>
        <w:tabs>
          <w:tab w:val="left" w:pos="4320"/>
        </w:tabs>
        <w:jc w:val="both"/>
        <w:rPr>
          <w:rFonts w:ascii="Times New Roman" w:hAnsi="Times New Roman" w:cs="Times New Roman"/>
          <w:color w:val="000000"/>
          <w:sz w:val="20"/>
          <w:szCs w:val="20"/>
        </w:rPr>
      </w:pPr>
      <w:r w:rsidRPr="00F34A29">
        <w:rPr>
          <w:rFonts w:ascii="Times New Roman" w:hAnsi="Times New Roman" w:cs="Times New Roman"/>
          <w:sz w:val="20"/>
          <w:szCs w:val="20"/>
        </w:rPr>
        <w:lastRenderedPageBreak/>
        <w:t>Business</w:t>
      </w:r>
      <w:r>
        <w:rPr>
          <w:rFonts w:ascii="Times New Roman" w:hAnsi="Times New Roman" w:cs="Times New Roman"/>
          <w:sz w:val="20"/>
          <w:szCs w:val="20"/>
        </w:rPr>
        <w:t xml:space="preserve"> Days for Payments</w:t>
      </w:r>
      <w:r w:rsidRPr="00F34A29">
        <w:rPr>
          <w:rFonts w:ascii="Times New Roman" w:hAnsi="Times New Roman" w:cs="Times New Roman"/>
          <w:sz w:val="20"/>
          <w:szCs w:val="20"/>
        </w:rPr>
        <w:t>:</w:t>
      </w:r>
      <w:r w:rsidRPr="00F34A29">
        <w:rPr>
          <w:rFonts w:ascii="Times New Roman" w:hAnsi="Times New Roman" w:cs="Times New Roman"/>
          <w:color w:val="000000"/>
          <w:sz w:val="20"/>
          <w:szCs w:val="20"/>
        </w:rPr>
        <w:tab/>
      </w:r>
      <w:r>
        <w:rPr>
          <w:rFonts w:ascii="Times New Roman" w:hAnsi="Times New Roman" w:cs="Times New Roman"/>
          <w:color w:val="000000"/>
          <w:sz w:val="20"/>
          <w:szCs w:val="20"/>
        </w:rPr>
        <w:t>Almaty, New York</w:t>
      </w:r>
    </w:p>
    <w:p w14:paraId="08789DC6" w14:textId="28EB02C8" w:rsidR="00EB2218" w:rsidRDefault="00EB2218" w:rsidP="00EB2218">
      <w:pPr>
        <w:tabs>
          <w:tab w:val="left" w:pos="4320"/>
        </w:tabs>
        <w:jc w:val="both"/>
        <w:rPr>
          <w:rFonts w:ascii="Times New Roman" w:hAnsi="Times New Roman" w:cs="Times New Roman"/>
          <w:color w:val="000000"/>
          <w:sz w:val="20"/>
          <w:szCs w:val="20"/>
        </w:rPr>
      </w:pPr>
      <w:r>
        <w:rPr>
          <w:rFonts w:ascii="Times New Roman" w:hAnsi="Times New Roman" w:cs="Times New Roman"/>
          <w:color w:val="000000"/>
          <w:sz w:val="20"/>
          <w:szCs w:val="20"/>
        </w:rPr>
        <w:t>Business Days for</w:t>
      </w:r>
      <w:r w:rsidRPr="005D7D19">
        <w:rPr>
          <w:rFonts w:ascii="Times New Roman" w:hAnsi="Times New Roman" w:cs="Times New Roman"/>
          <w:color w:val="000000"/>
          <w:sz w:val="20"/>
          <w:szCs w:val="20"/>
        </w:rPr>
        <w:t xml:space="preserve"> </w:t>
      </w:r>
      <w:r>
        <w:rPr>
          <w:rFonts w:ascii="Times New Roman" w:hAnsi="Times New Roman" w:cs="Times New Roman"/>
          <w:color w:val="000000"/>
          <w:sz w:val="20"/>
          <w:szCs w:val="20"/>
        </w:rPr>
        <w:t>Floating Rate II</w:t>
      </w:r>
      <w:r w:rsidRPr="00347827">
        <w:rPr>
          <w:rFonts w:ascii="Times New Roman" w:hAnsi="Times New Roman" w:cs="Times New Roman"/>
          <w:color w:val="000000"/>
          <w:sz w:val="20"/>
          <w:szCs w:val="20"/>
        </w:rPr>
        <w:t xml:space="preserve"> </w:t>
      </w:r>
      <w:r w:rsidRPr="005D7D19">
        <w:rPr>
          <w:rFonts w:ascii="Times New Roman" w:hAnsi="Times New Roman" w:cs="Times New Roman"/>
          <w:color w:val="000000"/>
          <w:sz w:val="20"/>
          <w:szCs w:val="20"/>
        </w:rPr>
        <w:t>Reset Dates:</w:t>
      </w:r>
      <w:r w:rsidRPr="005D7D19">
        <w:rPr>
          <w:rFonts w:ascii="Times New Roman" w:hAnsi="Times New Roman" w:cs="Times New Roman"/>
          <w:color w:val="000000"/>
          <w:sz w:val="20"/>
          <w:szCs w:val="20"/>
        </w:rPr>
        <w:tab/>
      </w:r>
      <w:r>
        <w:rPr>
          <w:rFonts w:ascii="Times New Roman" w:hAnsi="Times New Roman" w:cs="Times New Roman"/>
          <w:color w:val="000000"/>
          <w:sz w:val="20"/>
          <w:szCs w:val="20"/>
        </w:rPr>
        <w:t>Almaty</w:t>
      </w:r>
    </w:p>
    <w:p w14:paraId="550439D0" w14:textId="77777777" w:rsidR="00EB2218" w:rsidRPr="00F34A29" w:rsidRDefault="00EB2218" w:rsidP="001F2F43">
      <w:pPr>
        <w:tabs>
          <w:tab w:val="left" w:pos="4320"/>
        </w:tabs>
        <w:jc w:val="both"/>
        <w:rPr>
          <w:rFonts w:ascii="Times New Roman" w:hAnsi="Times New Roman" w:cs="Times New Roman"/>
          <w:color w:val="000000"/>
          <w:sz w:val="20"/>
          <w:szCs w:val="20"/>
        </w:rPr>
      </w:pPr>
    </w:p>
    <w:p w14:paraId="52713CE9" w14:textId="5DE4F7C9" w:rsidR="001F2F43" w:rsidRPr="00F778EB" w:rsidRDefault="00F778EB" w:rsidP="005D7D19">
      <w:pPr>
        <w:tabs>
          <w:tab w:val="left" w:pos="4320"/>
        </w:tabs>
        <w:ind w:left="4320" w:hanging="4320"/>
        <w:jc w:val="both"/>
        <w:rPr>
          <w:rFonts w:ascii="Times New Roman" w:hAnsi="Times New Roman" w:cs="Times New Roman"/>
          <w:b/>
          <w:bCs/>
          <w:color w:val="000000"/>
          <w:sz w:val="20"/>
          <w:szCs w:val="20"/>
        </w:rPr>
      </w:pPr>
      <w:r w:rsidRPr="00F778EB">
        <w:rPr>
          <w:rFonts w:ascii="Times New Roman" w:hAnsi="Times New Roman" w:cs="Times New Roman"/>
          <w:b/>
          <w:bCs/>
          <w:color w:val="000000"/>
          <w:sz w:val="20"/>
          <w:szCs w:val="20"/>
        </w:rPr>
        <w:t>Notional Amount Schedule:</w:t>
      </w:r>
    </w:p>
    <w:tbl>
      <w:tblPr>
        <w:tblStyle w:val="af7"/>
        <w:tblW w:w="0" w:type="auto"/>
        <w:tblInd w:w="4320" w:type="dxa"/>
        <w:tblLook w:val="04A0" w:firstRow="1" w:lastRow="0" w:firstColumn="1" w:lastColumn="0" w:noHBand="0" w:noVBand="1"/>
      </w:tblPr>
      <w:tblGrid>
        <w:gridCol w:w="1599"/>
        <w:gridCol w:w="1618"/>
        <w:gridCol w:w="1479"/>
      </w:tblGrid>
      <w:tr w:rsidR="00F778EB" w14:paraId="68494755" w14:textId="77777777" w:rsidTr="00F778EB">
        <w:tc>
          <w:tcPr>
            <w:tcW w:w="3005" w:type="dxa"/>
          </w:tcPr>
          <w:p w14:paraId="0DC4F6B0" w14:textId="0A721E51" w:rsidR="00F778EB" w:rsidRPr="00F778EB" w:rsidRDefault="00F778EB" w:rsidP="00F778EB">
            <w:pPr>
              <w:pStyle w:val="Default"/>
              <w:jc w:val="both"/>
              <w:rPr>
                <w:sz w:val="21"/>
                <w:szCs w:val="21"/>
              </w:rPr>
            </w:pPr>
            <w:r>
              <w:rPr>
                <w:b/>
                <w:bCs/>
                <w:sz w:val="21"/>
                <w:szCs w:val="21"/>
              </w:rPr>
              <w:t xml:space="preserve">From and including*: </w:t>
            </w:r>
          </w:p>
        </w:tc>
        <w:tc>
          <w:tcPr>
            <w:tcW w:w="3005" w:type="dxa"/>
          </w:tcPr>
          <w:p w14:paraId="14A9F970" w14:textId="77777777" w:rsidR="00F778EB" w:rsidRDefault="00F778EB" w:rsidP="00F778EB">
            <w:pPr>
              <w:pStyle w:val="Default"/>
              <w:jc w:val="both"/>
              <w:rPr>
                <w:sz w:val="21"/>
                <w:szCs w:val="21"/>
              </w:rPr>
            </w:pPr>
            <w:r>
              <w:rPr>
                <w:b/>
                <w:bCs/>
                <w:sz w:val="21"/>
                <w:szCs w:val="21"/>
              </w:rPr>
              <w:t xml:space="preserve">To but excluding*: </w:t>
            </w:r>
          </w:p>
          <w:p w14:paraId="58386D24" w14:textId="77777777" w:rsidR="00F778EB" w:rsidRDefault="00F778EB" w:rsidP="005D7D19">
            <w:pPr>
              <w:tabs>
                <w:tab w:val="left" w:pos="4320"/>
              </w:tabs>
              <w:jc w:val="both"/>
              <w:rPr>
                <w:rFonts w:ascii="Times New Roman" w:hAnsi="Times New Roman" w:cs="Times New Roman"/>
                <w:color w:val="000000"/>
                <w:sz w:val="20"/>
                <w:szCs w:val="20"/>
              </w:rPr>
            </w:pPr>
          </w:p>
        </w:tc>
        <w:tc>
          <w:tcPr>
            <w:tcW w:w="3006" w:type="dxa"/>
          </w:tcPr>
          <w:p w14:paraId="2276CF70" w14:textId="302B93A6" w:rsidR="00F778EB" w:rsidRDefault="00F778EB" w:rsidP="00F778EB">
            <w:pPr>
              <w:pStyle w:val="Default"/>
              <w:jc w:val="both"/>
              <w:rPr>
                <w:sz w:val="21"/>
                <w:szCs w:val="21"/>
              </w:rPr>
            </w:pPr>
            <w:r>
              <w:rPr>
                <w:b/>
                <w:bCs/>
                <w:sz w:val="21"/>
                <w:szCs w:val="21"/>
              </w:rPr>
              <w:t xml:space="preserve">Floating Rate II Payer Currency Amount (KZT): </w:t>
            </w:r>
          </w:p>
          <w:p w14:paraId="07BFE88E" w14:textId="77777777" w:rsidR="00F778EB" w:rsidRDefault="00F778EB" w:rsidP="005D7D19">
            <w:pPr>
              <w:tabs>
                <w:tab w:val="left" w:pos="4320"/>
              </w:tabs>
              <w:jc w:val="both"/>
              <w:rPr>
                <w:rFonts w:ascii="Times New Roman" w:hAnsi="Times New Roman" w:cs="Times New Roman"/>
                <w:color w:val="000000"/>
                <w:sz w:val="20"/>
                <w:szCs w:val="20"/>
              </w:rPr>
            </w:pPr>
          </w:p>
        </w:tc>
      </w:tr>
      <w:tr w:rsidR="00F778EB" w14:paraId="21EF72CC" w14:textId="77777777" w:rsidTr="00F778EB">
        <w:tc>
          <w:tcPr>
            <w:tcW w:w="3005" w:type="dxa"/>
          </w:tcPr>
          <w:p w14:paraId="5E42671C" w14:textId="77777777" w:rsidR="00F778EB" w:rsidRDefault="00F778EB" w:rsidP="005D7D19">
            <w:pPr>
              <w:tabs>
                <w:tab w:val="left" w:pos="4320"/>
              </w:tabs>
              <w:jc w:val="both"/>
              <w:rPr>
                <w:rFonts w:ascii="Times New Roman" w:hAnsi="Times New Roman" w:cs="Times New Roman"/>
                <w:color w:val="000000"/>
                <w:sz w:val="20"/>
                <w:szCs w:val="20"/>
              </w:rPr>
            </w:pPr>
          </w:p>
        </w:tc>
        <w:tc>
          <w:tcPr>
            <w:tcW w:w="3005" w:type="dxa"/>
          </w:tcPr>
          <w:p w14:paraId="347A9835" w14:textId="77777777" w:rsidR="00F778EB" w:rsidRDefault="00F778EB" w:rsidP="005D7D19">
            <w:pPr>
              <w:tabs>
                <w:tab w:val="left" w:pos="4320"/>
              </w:tabs>
              <w:jc w:val="both"/>
              <w:rPr>
                <w:rFonts w:ascii="Times New Roman" w:hAnsi="Times New Roman" w:cs="Times New Roman"/>
                <w:color w:val="000000"/>
                <w:sz w:val="20"/>
                <w:szCs w:val="20"/>
              </w:rPr>
            </w:pPr>
          </w:p>
        </w:tc>
        <w:tc>
          <w:tcPr>
            <w:tcW w:w="3006" w:type="dxa"/>
          </w:tcPr>
          <w:p w14:paraId="5E2DE678" w14:textId="77777777" w:rsidR="00F778EB" w:rsidRDefault="00F778EB" w:rsidP="005D7D19">
            <w:pPr>
              <w:tabs>
                <w:tab w:val="left" w:pos="4320"/>
              </w:tabs>
              <w:jc w:val="both"/>
              <w:rPr>
                <w:rFonts w:ascii="Times New Roman" w:hAnsi="Times New Roman" w:cs="Times New Roman"/>
                <w:color w:val="000000"/>
                <w:sz w:val="20"/>
                <w:szCs w:val="20"/>
              </w:rPr>
            </w:pPr>
          </w:p>
        </w:tc>
      </w:tr>
      <w:tr w:rsidR="00F778EB" w14:paraId="01F85BB5" w14:textId="77777777" w:rsidTr="00F778EB">
        <w:tc>
          <w:tcPr>
            <w:tcW w:w="3005" w:type="dxa"/>
          </w:tcPr>
          <w:p w14:paraId="7A13B07B" w14:textId="77777777" w:rsidR="00F778EB" w:rsidRDefault="00F778EB" w:rsidP="005D7D19">
            <w:pPr>
              <w:tabs>
                <w:tab w:val="left" w:pos="4320"/>
              </w:tabs>
              <w:jc w:val="both"/>
              <w:rPr>
                <w:rFonts w:ascii="Times New Roman" w:hAnsi="Times New Roman" w:cs="Times New Roman"/>
                <w:color w:val="000000"/>
                <w:sz w:val="20"/>
                <w:szCs w:val="20"/>
              </w:rPr>
            </w:pPr>
          </w:p>
        </w:tc>
        <w:tc>
          <w:tcPr>
            <w:tcW w:w="3005" w:type="dxa"/>
          </w:tcPr>
          <w:p w14:paraId="60665D9C" w14:textId="77777777" w:rsidR="00F778EB" w:rsidRDefault="00F778EB" w:rsidP="005D7D19">
            <w:pPr>
              <w:tabs>
                <w:tab w:val="left" w:pos="4320"/>
              </w:tabs>
              <w:jc w:val="both"/>
              <w:rPr>
                <w:rFonts w:ascii="Times New Roman" w:hAnsi="Times New Roman" w:cs="Times New Roman"/>
                <w:color w:val="000000"/>
                <w:sz w:val="20"/>
                <w:szCs w:val="20"/>
              </w:rPr>
            </w:pPr>
          </w:p>
        </w:tc>
        <w:tc>
          <w:tcPr>
            <w:tcW w:w="3006" w:type="dxa"/>
          </w:tcPr>
          <w:p w14:paraId="52221E7C" w14:textId="77777777" w:rsidR="00F778EB" w:rsidRDefault="00F778EB" w:rsidP="005D7D19">
            <w:pPr>
              <w:tabs>
                <w:tab w:val="left" w:pos="4320"/>
              </w:tabs>
              <w:jc w:val="both"/>
              <w:rPr>
                <w:rFonts w:ascii="Times New Roman" w:hAnsi="Times New Roman" w:cs="Times New Roman"/>
                <w:color w:val="000000"/>
                <w:sz w:val="20"/>
                <w:szCs w:val="20"/>
              </w:rPr>
            </w:pPr>
          </w:p>
        </w:tc>
      </w:tr>
      <w:tr w:rsidR="00F778EB" w14:paraId="5AB7F7E5" w14:textId="77777777" w:rsidTr="00F778EB">
        <w:tc>
          <w:tcPr>
            <w:tcW w:w="3005" w:type="dxa"/>
          </w:tcPr>
          <w:p w14:paraId="2FE2EE5F" w14:textId="77777777" w:rsidR="00F778EB" w:rsidRDefault="00F778EB" w:rsidP="005D7D19">
            <w:pPr>
              <w:tabs>
                <w:tab w:val="left" w:pos="4320"/>
              </w:tabs>
              <w:jc w:val="both"/>
              <w:rPr>
                <w:rFonts w:ascii="Times New Roman" w:hAnsi="Times New Roman" w:cs="Times New Roman"/>
                <w:color w:val="000000"/>
                <w:sz w:val="20"/>
                <w:szCs w:val="20"/>
              </w:rPr>
            </w:pPr>
          </w:p>
        </w:tc>
        <w:tc>
          <w:tcPr>
            <w:tcW w:w="3005" w:type="dxa"/>
          </w:tcPr>
          <w:p w14:paraId="2FDF6E29" w14:textId="77777777" w:rsidR="00F778EB" w:rsidRDefault="00F778EB" w:rsidP="005D7D19">
            <w:pPr>
              <w:tabs>
                <w:tab w:val="left" w:pos="4320"/>
              </w:tabs>
              <w:jc w:val="both"/>
              <w:rPr>
                <w:rFonts w:ascii="Times New Roman" w:hAnsi="Times New Roman" w:cs="Times New Roman"/>
                <w:color w:val="000000"/>
                <w:sz w:val="20"/>
                <w:szCs w:val="20"/>
              </w:rPr>
            </w:pPr>
          </w:p>
        </w:tc>
        <w:tc>
          <w:tcPr>
            <w:tcW w:w="3006" w:type="dxa"/>
          </w:tcPr>
          <w:p w14:paraId="2991D57D" w14:textId="77777777" w:rsidR="00F778EB" w:rsidRDefault="00F778EB" w:rsidP="005D7D19">
            <w:pPr>
              <w:tabs>
                <w:tab w:val="left" w:pos="4320"/>
              </w:tabs>
              <w:jc w:val="both"/>
              <w:rPr>
                <w:rFonts w:ascii="Times New Roman" w:hAnsi="Times New Roman" w:cs="Times New Roman"/>
                <w:color w:val="000000"/>
                <w:sz w:val="20"/>
                <w:szCs w:val="20"/>
              </w:rPr>
            </w:pPr>
          </w:p>
        </w:tc>
      </w:tr>
    </w:tbl>
    <w:p w14:paraId="231BCCB6" w14:textId="7E80143C" w:rsidR="00F778EB" w:rsidRDefault="00F778EB" w:rsidP="00F778EB">
      <w:pPr>
        <w:spacing w:after="0"/>
        <w:ind w:left="4320" w:hanging="3600"/>
        <w:jc w:val="both"/>
        <w:rPr>
          <w:rFonts w:ascii="Times New Roman" w:hAnsi="Times New Roman" w:cs="Times New Roman"/>
          <w:color w:val="000000"/>
          <w:sz w:val="20"/>
          <w:szCs w:val="20"/>
        </w:rPr>
      </w:pPr>
      <w:r>
        <w:rPr>
          <w:rFonts w:ascii="Times New Roman" w:hAnsi="Times New Roman" w:cs="Times New Roman"/>
          <w:color w:val="000000"/>
          <w:sz w:val="20"/>
          <w:szCs w:val="20"/>
        </w:rPr>
        <w:tab/>
        <w:t>*</w:t>
      </w:r>
      <w:proofErr w:type="gramStart"/>
      <w:r>
        <w:rPr>
          <w:rFonts w:ascii="Times New Roman" w:hAnsi="Times New Roman" w:cs="Times New Roman"/>
          <w:color w:val="000000"/>
          <w:sz w:val="20"/>
          <w:szCs w:val="20"/>
        </w:rPr>
        <w:t>date</w:t>
      </w:r>
      <w:proofErr w:type="gramEnd"/>
      <w:r>
        <w:rPr>
          <w:rFonts w:ascii="Times New Roman" w:hAnsi="Times New Roman" w:cs="Times New Roman"/>
          <w:color w:val="000000"/>
          <w:sz w:val="20"/>
          <w:szCs w:val="20"/>
        </w:rPr>
        <w:t xml:space="preserve"> subject to adjustment in accordance with the Modified Following Business Day Convention</w:t>
      </w:r>
      <w:r w:rsidRPr="000B71C7">
        <w:rPr>
          <w:rFonts w:ascii="Times New Roman" w:hAnsi="Times New Roman" w:cs="Times New Roman"/>
          <w:color w:val="000000"/>
          <w:sz w:val="20"/>
          <w:szCs w:val="20"/>
        </w:rPr>
        <w:t>.</w:t>
      </w:r>
    </w:p>
    <w:p w14:paraId="690DD5D2" w14:textId="7C89209B" w:rsidR="00F778EB" w:rsidRPr="005D7D19" w:rsidRDefault="00F778EB" w:rsidP="00C25586">
      <w:pPr>
        <w:tabs>
          <w:tab w:val="left" w:pos="4320"/>
        </w:tabs>
        <w:jc w:val="both"/>
        <w:rPr>
          <w:rFonts w:ascii="Times New Roman" w:hAnsi="Times New Roman" w:cs="Times New Roman"/>
          <w:color w:val="000000"/>
          <w:sz w:val="20"/>
          <w:szCs w:val="20"/>
        </w:rPr>
      </w:pPr>
    </w:p>
    <w:p w14:paraId="4FE3C2E0" w14:textId="39EE7928" w:rsidR="001F13EB" w:rsidRPr="000E5579" w:rsidRDefault="001F13EB" w:rsidP="001F13EB">
      <w:pPr>
        <w:tabs>
          <w:tab w:val="left" w:pos="4320"/>
        </w:tabs>
        <w:jc w:val="both"/>
        <w:rPr>
          <w:rFonts w:ascii="Times New Roman" w:hAnsi="Times New Roman" w:cs="Times New Roman"/>
          <w:color w:val="000000"/>
          <w:sz w:val="20"/>
          <w:szCs w:val="20"/>
        </w:rPr>
      </w:pPr>
      <w:r w:rsidRPr="000E5579">
        <w:rPr>
          <w:rFonts w:ascii="Times New Roman" w:hAnsi="Times New Roman" w:cs="Times New Roman"/>
          <w:b/>
          <w:bCs/>
          <w:color w:val="000000"/>
          <w:sz w:val="20"/>
          <w:szCs w:val="20"/>
        </w:rPr>
        <w:t>4. Exchanges</w:t>
      </w:r>
    </w:p>
    <w:p w14:paraId="6FB7DFAB" w14:textId="0F19ECBF" w:rsidR="001F13EB" w:rsidRPr="000E5579" w:rsidRDefault="001F13EB" w:rsidP="002B65F8">
      <w:pPr>
        <w:tabs>
          <w:tab w:val="left" w:pos="4320"/>
        </w:tabs>
        <w:ind w:left="4320" w:hanging="3600"/>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Initial Exchange Date: </w:t>
      </w:r>
      <w:r w:rsidRPr="000E5579">
        <w:rPr>
          <w:rFonts w:ascii="Times New Roman" w:hAnsi="Times New Roman" w:cs="Times New Roman"/>
          <w:color w:val="000000"/>
          <w:sz w:val="20"/>
          <w:szCs w:val="20"/>
        </w:rPr>
        <w:tab/>
      </w:r>
      <w:proofErr w:type="gramStart"/>
      <w:r w:rsidRPr="000E5579">
        <w:rPr>
          <w:rFonts w:ascii="Times New Roman" w:hAnsi="Times New Roman" w:cs="Times New Roman"/>
          <w:color w:val="000000"/>
          <w:sz w:val="20"/>
          <w:szCs w:val="20"/>
        </w:rPr>
        <w:t>[ ]</w:t>
      </w:r>
      <w:proofErr w:type="gramEnd"/>
      <w:r w:rsidRPr="000E5579">
        <w:rPr>
          <w:rFonts w:ascii="Times New Roman" w:hAnsi="Times New Roman" w:cs="Times New Roman"/>
          <w:color w:val="000000"/>
          <w:sz w:val="20"/>
          <w:szCs w:val="20"/>
        </w:rPr>
        <w:t xml:space="preserve"> [, subject to adjustment in accordance with the [Following/Modified Following/Preceding] Business Day Convention]</w:t>
      </w:r>
    </w:p>
    <w:p w14:paraId="7C0C8A38" w14:textId="2B7AE45A" w:rsidR="001F13EB" w:rsidRPr="000E5579" w:rsidRDefault="001F13EB" w:rsidP="001F13EB">
      <w:pPr>
        <w:tabs>
          <w:tab w:val="left" w:pos="4320"/>
        </w:tabs>
        <w:ind w:left="4320" w:hanging="3600"/>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Party </w:t>
      </w:r>
      <w:proofErr w:type="gramStart"/>
      <w:r w:rsidRPr="000E5579">
        <w:rPr>
          <w:rFonts w:ascii="Times New Roman" w:hAnsi="Times New Roman" w:cs="Times New Roman"/>
          <w:color w:val="000000"/>
          <w:sz w:val="20"/>
          <w:szCs w:val="20"/>
        </w:rPr>
        <w:t>A</w:t>
      </w:r>
      <w:proofErr w:type="gramEnd"/>
      <w:r w:rsidRPr="000E5579">
        <w:rPr>
          <w:rFonts w:ascii="Times New Roman" w:hAnsi="Times New Roman" w:cs="Times New Roman"/>
          <w:color w:val="000000"/>
          <w:sz w:val="20"/>
          <w:szCs w:val="20"/>
        </w:rPr>
        <w:t xml:space="preserve"> Initial Exchange Amount: </w:t>
      </w:r>
      <w:r w:rsidRPr="000E5579">
        <w:rPr>
          <w:rFonts w:ascii="Times New Roman" w:hAnsi="Times New Roman" w:cs="Times New Roman"/>
          <w:color w:val="000000"/>
          <w:sz w:val="20"/>
          <w:szCs w:val="20"/>
        </w:rPr>
        <w:tab/>
      </w:r>
      <w:r w:rsidR="00FB2036">
        <w:rPr>
          <w:rFonts w:ascii="Times New Roman" w:hAnsi="Times New Roman" w:cs="Times New Roman"/>
          <w:color w:val="000000"/>
          <w:sz w:val="20"/>
          <w:szCs w:val="20"/>
        </w:rPr>
        <w:t>USD</w:t>
      </w:r>
      <w:r w:rsidRPr="000E5579">
        <w:rPr>
          <w:rFonts w:ascii="Times New Roman" w:hAnsi="Times New Roman" w:cs="Times New Roman"/>
          <w:color w:val="000000"/>
          <w:sz w:val="20"/>
          <w:szCs w:val="20"/>
        </w:rPr>
        <w:t xml:space="preserve"> </w:t>
      </w:r>
      <w:proofErr w:type="gramStart"/>
      <w:r w:rsidR="00F54EEC">
        <w:rPr>
          <w:rFonts w:ascii="Times New Roman" w:hAnsi="Times New Roman" w:cs="Times New Roman"/>
          <w:color w:val="000000"/>
          <w:sz w:val="20"/>
          <w:szCs w:val="20"/>
        </w:rPr>
        <w:t>[ ]</w:t>
      </w:r>
      <w:proofErr w:type="gramEnd"/>
    </w:p>
    <w:p w14:paraId="081F8427" w14:textId="4D1DD425" w:rsidR="001F13EB" w:rsidRPr="000E5579" w:rsidRDefault="001F13EB" w:rsidP="001F13EB">
      <w:pPr>
        <w:tabs>
          <w:tab w:val="left" w:pos="4320"/>
        </w:tabs>
        <w:ind w:left="4320" w:hanging="3600"/>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Party B Initial Exchange Amount: </w:t>
      </w:r>
      <w:r w:rsidRPr="000E5579">
        <w:rPr>
          <w:rFonts w:ascii="Times New Roman" w:hAnsi="Times New Roman" w:cs="Times New Roman"/>
          <w:color w:val="000000"/>
          <w:sz w:val="20"/>
          <w:szCs w:val="20"/>
        </w:rPr>
        <w:tab/>
      </w:r>
      <w:r w:rsidR="00FB2036">
        <w:rPr>
          <w:rFonts w:ascii="Times New Roman" w:hAnsi="Times New Roman" w:cs="Times New Roman"/>
          <w:color w:val="000000"/>
          <w:sz w:val="20"/>
          <w:szCs w:val="20"/>
        </w:rPr>
        <w:t>KZT</w:t>
      </w:r>
      <w:r w:rsidR="00F54EEC">
        <w:rPr>
          <w:rFonts w:ascii="Times New Roman" w:hAnsi="Times New Roman" w:cs="Times New Roman"/>
          <w:color w:val="000000"/>
          <w:sz w:val="20"/>
          <w:szCs w:val="20"/>
        </w:rPr>
        <w:t xml:space="preserve"> </w:t>
      </w:r>
      <w:proofErr w:type="gramStart"/>
      <w:r w:rsidR="00F54EEC">
        <w:rPr>
          <w:rFonts w:ascii="Times New Roman" w:hAnsi="Times New Roman" w:cs="Times New Roman"/>
          <w:color w:val="000000"/>
          <w:sz w:val="20"/>
          <w:szCs w:val="20"/>
        </w:rPr>
        <w:t>[ ]</w:t>
      </w:r>
      <w:proofErr w:type="gramEnd"/>
    </w:p>
    <w:p w14:paraId="3C1D7EBF" w14:textId="38F2FD66" w:rsidR="001F13EB" w:rsidRPr="000E5579" w:rsidRDefault="001F13EB" w:rsidP="001F13EB">
      <w:pPr>
        <w:tabs>
          <w:tab w:val="left" w:pos="4320"/>
        </w:tabs>
        <w:ind w:left="4320" w:hanging="3600"/>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Final Exchange Date: </w:t>
      </w:r>
      <w:r w:rsidRPr="000E5579">
        <w:rPr>
          <w:rFonts w:ascii="Times New Roman" w:hAnsi="Times New Roman" w:cs="Times New Roman"/>
          <w:color w:val="000000"/>
          <w:sz w:val="20"/>
          <w:szCs w:val="20"/>
        </w:rPr>
        <w:tab/>
      </w:r>
      <w:r w:rsidR="002B65F8">
        <w:rPr>
          <w:rFonts w:ascii="Times New Roman" w:hAnsi="Times New Roman" w:cs="Times New Roman"/>
          <w:color w:val="000000"/>
          <w:sz w:val="20"/>
          <w:szCs w:val="20"/>
        </w:rPr>
        <w:t>Termination Date</w:t>
      </w:r>
    </w:p>
    <w:p w14:paraId="5294302A" w14:textId="202E855F" w:rsidR="001F13EB" w:rsidRPr="000E5579" w:rsidRDefault="001F13EB" w:rsidP="001F13EB">
      <w:pPr>
        <w:tabs>
          <w:tab w:val="left" w:pos="4320"/>
        </w:tabs>
        <w:ind w:left="4320" w:hanging="3600"/>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Party A Final Exchange Amount: </w:t>
      </w:r>
      <w:r w:rsidRPr="000E5579">
        <w:rPr>
          <w:rFonts w:ascii="Times New Roman" w:hAnsi="Times New Roman" w:cs="Times New Roman"/>
          <w:color w:val="000000"/>
          <w:sz w:val="20"/>
          <w:szCs w:val="20"/>
        </w:rPr>
        <w:tab/>
      </w:r>
      <w:r w:rsidR="00FB2036" w:rsidRPr="00FB2036">
        <w:rPr>
          <w:rFonts w:ascii="Times New Roman" w:hAnsi="Times New Roman" w:cs="Times New Roman"/>
          <w:color w:val="000000"/>
          <w:sz w:val="20"/>
          <w:szCs w:val="20"/>
        </w:rPr>
        <w:t xml:space="preserve">KZT [•], </w:t>
      </w:r>
    </w:p>
    <w:p w14:paraId="76BB2111" w14:textId="1690A07E" w:rsidR="002B65F8" w:rsidRPr="000E5579" w:rsidRDefault="001F13EB" w:rsidP="001361BE">
      <w:pPr>
        <w:tabs>
          <w:tab w:val="left" w:pos="4320"/>
        </w:tabs>
        <w:ind w:left="4320" w:hanging="3600"/>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Party B Final Exchange Amount: </w:t>
      </w:r>
      <w:r w:rsidRPr="000E5579">
        <w:rPr>
          <w:rFonts w:ascii="Times New Roman" w:hAnsi="Times New Roman" w:cs="Times New Roman"/>
          <w:color w:val="000000"/>
          <w:sz w:val="20"/>
          <w:szCs w:val="20"/>
        </w:rPr>
        <w:tab/>
      </w:r>
      <w:r w:rsidR="00FB2036" w:rsidRPr="00FB2036">
        <w:rPr>
          <w:rFonts w:ascii="Times New Roman" w:hAnsi="Times New Roman" w:cs="Times New Roman"/>
          <w:color w:val="000000"/>
          <w:sz w:val="20"/>
          <w:szCs w:val="20"/>
        </w:rPr>
        <w:t>The Variable Currency Amount determined for the final Calculation Period</w:t>
      </w:r>
    </w:p>
    <w:p w14:paraId="3ADA7061" w14:textId="2663F275" w:rsidR="00D00847" w:rsidRPr="000E5579" w:rsidRDefault="009C6229" w:rsidP="001F13EB">
      <w:pPr>
        <w:tabs>
          <w:tab w:val="left" w:pos="4320"/>
        </w:tabs>
        <w:ind w:left="3611" w:hanging="3600"/>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6</w:t>
      </w:r>
      <w:r w:rsidR="00D00847" w:rsidRPr="000E5579">
        <w:rPr>
          <w:rFonts w:ascii="Times New Roman" w:hAnsi="Times New Roman" w:cs="Times New Roman"/>
          <w:color w:val="000000"/>
          <w:sz w:val="20"/>
          <w:szCs w:val="20"/>
        </w:rPr>
        <w:t>.</w:t>
      </w:r>
      <w:r w:rsidR="001F13EB" w:rsidRPr="000E5579">
        <w:rPr>
          <w:rFonts w:ascii="Times New Roman" w:hAnsi="Times New Roman" w:cs="Times New Roman"/>
          <w:color w:val="000000"/>
          <w:sz w:val="20"/>
          <w:szCs w:val="20"/>
        </w:rPr>
        <w:t xml:space="preserve"> </w:t>
      </w:r>
      <w:r w:rsidR="00D00847" w:rsidRPr="000E5579">
        <w:rPr>
          <w:rFonts w:ascii="Times New Roman" w:hAnsi="Times New Roman" w:cs="Times New Roman"/>
          <w:b/>
          <w:color w:val="000000"/>
          <w:sz w:val="20"/>
          <w:szCs w:val="20"/>
        </w:rPr>
        <w:t>Account Details:</w:t>
      </w:r>
    </w:p>
    <w:p w14:paraId="69160A63" w14:textId="77777777" w:rsidR="00D00847" w:rsidRPr="000E5579" w:rsidRDefault="00D00847" w:rsidP="00F4764B">
      <w:pPr>
        <w:tabs>
          <w:tab w:val="left" w:pos="4320"/>
        </w:tabs>
        <w:ind w:left="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Account Details for </w:t>
      </w:r>
      <w:r w:rsidRPr="000E5579">
        <w:rPr>
          <w:rFonts w:ascii="Times New Roman" w:hAnsi="Times New Roman" w:cs="Times New Roman"/>
          <w:sz w:val="20"/>
          <w:szCs w:val="20"/>
        </w:rPr>
        <w:t>Party A</w:t>
      </w:r>
      <w:r w:rsidRPr="000E5579">
        <w:rPr>
          <w:rFonts w:ascii="Times New Roman" w:hAnsi="Times New Roman" w:cs="Times New Roman"/>
          <w:color w:val="000000"/>
          <w:sz w:val="20"/>
          <w:szCs w:val="20"/>
        </w:rPr>
        <w:t>:</w:t>
      </w:r>
      <w:r w:rsidRPr="000E5579">
        <w:rPr>
          <w:rFonts w:ascii="Times New Roman" w:hAnsi="Times New Roman" w:cs="Times New Roman"/>
          <w:color w:val="000000"/>
          <w:sz w:val="20"/>
          <w:szCs w:val="20"/>
        </w:rPr>
        <w:tab/>
        <w:t>Standard Settlement Instructions.</w:t>
      </w:r>
      <w:r w:rsidRPr="000E5579">
        <w:rPr>
          <w:rFonts w:ascii="Times New Roman" w:hAnsi="Times New Roman" w:cs="Times New Roman"/>
          <w:color w:val="000000"/>
          <w:sz w:val="20"/>
          <w:szCs w:val="20"/>
        </w:rPr>
        <w:tab/>
      </w:r>
    </w:p>
    <w:p w14:paraId="0D995DF2" w14:textId="77777777" w:rsidR="00D00847" w:rsidRPr="000E5579" w:rsidRDefault="00D00847" w:rsidP="00F4764B">
      <w:pPr>
        <w:tabs>
          <w:tab w:val="left" w:pos="4320"/>
        </w:tabs>
        <w:ind w:left="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Account Details for </w:t>
      </w:r>
      <w:r w:rsidRPr="000E5579">
        <w:rPr>
          <w:rFonts w:ascii="Times New Roman" w:hAnsi="Times New Roman" w:cs="Times New Roman"/>
          <w:sz w:val="20"/>
          <w:szCs w:val="20"/>
        </w:rPr>
        <w:t>Party B</w:t>
      </w:r>
      <w:r w:rsidRPr="000E5579">
        <w:rPr>
          <w:rFonts w:ascii="Times New Roman" w:hAnsi="Times New Roman" w:cs="Times New Roman"/>
          <w:color w:val="000000"/>
          <w:sz w:val="20"/>
          <w:szCs w:val="20"/>
        </w:rPr>
        <w:t>:</w:t>
      </w:r>
      <w:r w:rsidRPr="000E5579">
        <w:rPr>
          <w:rFonts w:ascii="Times New Roman" w:hAnsi="Times New Roman" w:cs="Times New Roman"/>
          <w:color w:val="000000"/>
          <w:sz w:val="20"/>
          <w:szCs w:val="20"/>
        </w:rPr>
        <w:tab/>
        <w:t>Standard Settlement Instructions.</w:t>
      </w:r>
      <w:r w:rsidRPr="000E5579">
        <w:rPr>
          <w:rFonts w:ascii="Times New Roman" w:hAnsi="Times New Roman" w:cs="Times New Roman"/>
          <w:color w:val="000000"/>
          <w:sz w:val="20"/>
          <w:szCs w:val="20"/>
        </w:rPr>
        <w:tab/>
      </w:r>
    </w:p>
    <w:p w14:paraId="4FB5C88E" w14:textId="77777777" w:rsidR="00D00847" w:rsidRPr="000E5579" w:rsidRDefault="00D00847" w:rsidP="00F4764B">
      <w:pPr>
        <w:tabs>
          <w:tab w:val="left" w:pos="4320"/>
        </w:tabs>
        <w:ind w:left="720"/>
        <w:jc w:val="both"/>
        <w:rPr>
          <w:rFonts w:ascii="Times New Roman" w:hAnsi="Times New Roman" w:cs="Times New Roman"/>
          <w:color w:val="000000"/>
          <w:sz w:val="20"/>
          <w:szCs w:val="20"/>
        </w:rPr>
      </w:pPr>
    </w:p>
    <w:p w14:paraId="0BDBDFE8" w14:textId="1909A0F4" w:rsidR="00D00847" w:rsidRPr="000E5579" w:rsidRDefault="009C6229" w:rsidP="00F4764B">
      <w:pPr>
        <w:tabs>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7</w:t>
      </w:r>
      <w:r w:rsidR="00D00847" w:rsidRPr="000E5579">
        <w:rPr>
          <w:rFonts w:ascii="Times New Roman" w:hAnsi="Times New Roman" w:cs="Times New Roman"/>
          <w:color w:val="000000"/>
          <w:sz w:val="20"/>
          <w:szCs w:val="20"/>
        </w:rPr>
        <w:t>.</w:t>
      </w:r>
      <w:r w:rsidR="00D00847" w:rsidRPr="000E5579">
        <w:rPr>
          <w:rFonts w:ascii="Times New Roman" w:hAnsi="Times New Roman" w:cs="Times New Roman"/>
          <w:color w:val="000000"/>
          <w:sz w:val="20"/>
          <w:szCs w:val="20"/>
        </w:rPr>
        <w:tab/>
      </w:r>
      <w:r w:rsidR="00D00847" w:rsidRPr="000E5579">
        <w:rPr>
          <w:rFonts w:ascii="Times New Roman" w:hAnsi="Times New Roman" w:cs="Times New Roman"/>
          <w:b/>
          <w:color w:val="000000"/>
          <w:sz w:val="20"/>
          <w:szCs w:val="20"/>
        </w:rPr>
        <w:t>Offices:</w:t>
      </w:r>
    </w:p>
    <w:p w14:paraId="0D29857A" w14:textId="70A1B37E" w:rsidR="00D00847" w:rsidRPr="000E5579" w:rsidRDefault="00D00847" w:rsidP="00F4764B">
      <w:pPr>
        <w:ind w:left="720"/>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The Office of </w:t>
      </w:r>
      <w:r w:rsidRPr="000E5579">
        <w:rPr>
          <w:rFonts w:ascii="Times New Roman" w:hAnsi="Times New Roman" w:cs="Times New Roman"/>
          <w:sz w:val="20"/>
          <w:szCs w:val="20"/>
        </w:rPr>
        <w:t>Party A</w:t>
      </w:r>
      <w:r w:rsidRPr="000E5579">
        <w:rPr>
          <w:rFonts w:ascii="Times New Roman" w:hAnsi="Times New Roman" w:cs="Times New Roman"/>
          <w:color w:val="000000"/>
          <w:sz w:val="20"/>
          <w:szCs w:val="20"/>
        </w:rPr>
        <w:t xml:space="preserve"> for this Transaction is </w:t>
      </w:r>
      <w:proofErr w:type="gramStart"/>
      <w:r w:rsidR="001F13EB" w:rsidRPr="000E5579">
        <w:rPr>
          <w:rFonts w:ascii="Times New Roman" w:hAnsi="Times New Roman" w:cs="Times New Roman"/>
          <w:color w:val="000000"/>
          <w:sz w:val="20"/>
          <w:szCs w:val="20"/>
        </w:rPr>
        <w:t>[ ]</w:t>
      </w:r>
      <w:proofErr w:type="gramEnd"/>
      <w:r w:rsidRPr="000E5579">
        <w:rPr>
          <w:rFonts w:ascii="Times New Roman" w:hAnsi="Times New Roman" w:cs="Times New Roman"/>
          <w:color w:val="000000"/>
          <w:sz w:val="20"/>
          <w:szCs w:val="20"/>
        </w:rPr>
        <w:t>.</w:t>
      </w:r>
    </w:p>
    <w:p w14:paraId="0CF243A9" w14:textId="614C1A70" w:rsidR="00D00847" w:rsidRPr="000E5579" w:rsidRDefault="00D00847" w:rsidP="00F4764B">
      <w:pPr>
        <w:ind w:left="720"/>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The Office of </w:t>
      </w:r>
      <w:r w:rsidRPr="000E5579">
        <w:rPr>
          <w:rFonts w:ascii="Times New Roman" w:hAnsi="Times New Roman" w:cs="Times New Roman"/>
          <w:sz w:val="20"/>
          <w:szCs w:val="20"/>
        </w:rPr>
        <w:t>Party B</w:t>
      </w:r>
      <w:r w:rsidR="004938AF" w:rsidRPr="000E5579">
        <w:rPr>
          <w:rFonts w:ascii="Times New Roman" w:hAnsi="Times New Roman" w:cs="Times New Roman"/>
          <w:color w:val="000000"/>
          <w:sz w:val="20"/>
          <w:szCs w:val="20"/>
        </w:rPr>
        <w:t xml:space="preserve"> for this Transaction is </w:t>
      </w:r>
      <w:proofErr w:type="gramStart"/>
      <w:r w:rsidR="001F13EB" w:rsidRPr="000E5579">
        <w:rPr>
          <w:rFonts w:ascii="Times New Roman" w:hAnsi="Times New Roman" w:cs="Times New Roman"/>
          <w:color w:val="000000"/>
          <w:sz w:val="20"/>
          <w:szCs w:val="20"/>
        </w:rPr>
        <w:t>[ ]</w:t>
      </w:r>
      <w:proofErr w:type="gramEnd"/>
      <w:r w:rsidRPr="000E5579">
        <w:rPr>
          <w:rFonts w:ascii="Times New Roman" w:hAnsi="Times New Roman" w:cs="Times New Roman"/>
          <w:color w:val="000000"/>
          <w:sz w:val="20"/>
          <w:szCs w:val="20"/>
        </w:rPr>
        <w:t>.</w:t>
      </w:r>
    </w:p>
    <w:p w14:paraId="451A4F8F" w14:textId="77777777" w:rsidR="00D00847" w:rsidRPr="000E5579" w:rsidRDefault="00D00847" w:rsidP="00D00847">
      <w:pPr>
        <w:tabs>
          <w:tab w:val="left" w:pos="72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color w:val="000000"/>
          <w:sz w:val="20"/>
          <w:szCs w:val="20"/>
        </w:rPr>
      </w:pPr>
    </w:p>
    <w:p w14:paraId="2CADE2D9" w14:textId="262ECC49" w:rsidR="00D00847" w:rsidRPr="000E5579" w:rsidRDefault="009C6229" w:rsidP="00D0084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Times New Roman" w:hAnsi="Times New Roman" w:cs="Times New Roman"/>
          <w:color w:val="000000"/>
          <w:sz w:val="20"/>
          <w:szCs w:val="20"/>
        </w:rPr>
      </w:pPr>
      <w:r w:rsidRPr="000E5579">
        <w:rPr>
          <w:rFonts w:ascii="Times New Roman" w:hAnsi="Times New Roman" w:cs="Times New Roman"/>
          <w:color w:val="000000"/>
          <w:sz w:val="20"/>
          <w:szCs w:val="20"/>
        </w:rPr>
        <w:t>8</w:t>
      </w:r>
      <w:r w:rsidR="00D00847" w:rsidRPr="000E5579">
        <w:rPr>
          <w:rFonts w:ascii="Times New Roman" w:hAnsi="Times New Roman" w:cs="Times New Roman"/>
          <w:color w:val="000000"/>
          <w:sz w:val="20"/>
          <w:szCs w:val="20"/>
        </w:rPr>
        <w:t>.</w:t>
      </w:r>
      <w:r w:rsidR="00D00847" w:rsidRPr="000E5579">
        <w:rPr>
          <w:rFonts w:ascii="Times New Roman" w:hAnsi="Times New Roman" w:cs="Times New Roman"/>
          <w:color w:val="000000"/>
          <w:sz w:val="20"/>
          <w:szCs w:val="20"/>
        </w:rPr>
        <w:tab/>
      </w:r>
      <w:r w:rsidR="00D00847" w:rsidRPr="000E5579">
        <w:rPr>
          <w:rFonts w:ascii="Times New Roman" w:hAnsi="Times New Roman" w:cs="Times New Roman"/>
          <w:b/>
          <w:color w:val="000000"/>
          <w:sz w:val="20"/>
          <w:szCs w:val="20"/>
        </w:rPr>
        <w:t>Representations</w:t>
      </w:r>
    </w:p>
    <w:p w14:paraId="25E4723B" w14:textId="77777777" w:rsidR="00D00847" w:rsidRPr="000E5579" w:rsidRDefault="00D00847" w:rsidP="00D008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Each party will be deemed to represent to the other party on the date on which it </w:t>
      </w:r>
      <w:proofErr w:type="gramStart"/>
      <w:r w:rsidRPr="000E5579">
        <w:rPr>
          <w:rFonts w:ascii="Times New Roman" w:hAnsi="Times New Roman" w:cs="Times New Roman"/>
          <w:color w:val="000000"/>
          <w:sz w:val="20"/>
          <w:szCs w:val="20"/>
        </w:rPr>
        <w:t>enters into</w:t>
      </w:r>
      <w:proofErr w:type="gramEnd"/>
      <w:r w:rsidRPr="000E5579">
        <w:rPr>
          <w:rFonts w:ascii="Times New Roman" w:hAnsi="Times New Roman" w:cs="Times New Roman"/>
          <w:color w:val="000000"/>
          <w:sz w:val="20"/>
          <w:szCs w:val="20"/>
        </w:rPr>
        <w:t xml:space="preserve"> this Transaction that (absent a written agreement between the parties that expressly imposes affirmative obligations to the contrary for this Transaction</w:t>
      </w:r>
      <w:proofErr w:type="gramStart"/>
      <w:r w:rsidRPr="000E5579">
        <w:rPr>
          <w:rFonts w:ascii="Times New Roman" w:hAnsi="Times New Roman" w:cs="Times New Roman"/>
          <w:color w:val="000000"/>
          <w:sz w:val="20"/>
          <w:szCs w:val="20"/>
        </w:rPr>
        <w:t>):-</w:t>
      </w:r>
      <w:proofErr w:type="gramEnd"/>
    </w:p>
    <w:p w14:paraId="47FEFB47" w14:textId="77777777" w:rsidR="00D00847" w:rsidRPr="000E5579" w:rsidRDefault="00D00847" w:rsidP="00D008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w:t>
      </w:r>
      <w:proofErr w:type="spellStart"/>
      <w:r w:rsidRPr="000E5579">
        <w:rPr>
          <w:rFonts w:ascii="Times New Roman" w:hAnsi="Times New Roman" w:cs="Times New Roman"/>
          <w:color w:val="000000"/>
          <w:sz w:val="20"/>
          <w:szCs w:val="20"/>
        </w:rPr>
        <w:t>i</w:t>
      </w:r>
      <w:proofErr w:type="spellEnd"/>
      <w:r w:rsidRPr="000E5579">
        <w:rPr>
          <w:rFonts w:ascii="Times New Roman" w:hAnsi="Times New Roman" w:cs="Times New Roman"/>
          <w:color w:val="000000"/>
          <w:sz w:val="20"/>
          <w:szCs w:val="20"/>
        </w:rPr>
        <w:t xml:space="preserve">) </w:t>
      </w:r>
      <w:r w:rsidRPr="000E5579">
        <w:rPr>
          <w:rFonts w:ascii="Times New Roman" w:hAnsi="Times New Roman" w:cs="Times New Roman"/>
          <w:b/>
          <w:color w:val="000000"/>
          <w:sz w:val="20"/>
          <w:szCs w:val="20"/>
        </w:rPr>
        <w:t>Non-Reliance.</w:t>
      </w:r>
      <w:r w:rsidRPr="000E5579">
        <w:rPr>
          <w:rFonts w:ascii="Times New Roman" w:hAnsi="Times New Roman" w:cs="Times New Roman"/>
          <w:color w:val="000000"/>
          <w:sz w:val="20"/>
          <w:szCs w:val="20"/>
        </w:rPr>
        <w:t xml:space="preserve"> It is acting for its own account, and it has made its own independent decisions to </w:t>
      </w:r>
      <w:proofErr w:type="gramStart"/>
      <w:r w:rsidRPr="000E5579">
        <w:rPr>
          <w:rFonts w:ascii="Times New Roman" w:hAnsi="Times New Roman" w:cs="Times New Roman"/>
          <w:color w:val="000000"/>
          <w:sz w:val="20"/>
          <w:szCs w:val="20"/>
        </w:rPr>
        <w:t>enter into</w:t>
      </w:r>
      <w:proofErr w:type="gramEnd"/>
      <w:r w:rsidRPr="000E5579">
        <w:rPr>
          <w:rFonts w:ascii="Times New Roman" w:hAnsi="Times New Roman" w:cs="Times New Roman"/>
          <w:color w:val="000000"/>
          <w:sz w:val="20"/>
          <w:szCs w:val="20"/>
        </w:rPr>
        <w:t xml:space="preserve"> this Transaction and as to whether this Transaction is appropriate or proper for it based upon its own judgment and upon advice from such advisers as it has deemed necessary. It is not relying on any communication (written or oral) of the other party as investment advice or as a recommendation to </w:t>
      </w:r>
      <w:proofErr w:type="gramStart"/>
      <w:r w:rsidRPr="000E5579">
        <w:rPr>
          <w:rFonts w:ascii="Times New Roman" w:hAnsi="Times New Roman" w:cs="Times New Roman"/>
          <w:color w:val="000000"/>
          <w:sz w:val="20"/>
          <w:szCs w:val="20"/>
        </w:rPr>
        <w:t>enter into</w:t>
      </w:r>
      <w:proofErr w:type="gramEnd"/>
      <w:r w:rsidRPr="000E5579">
        <w:rPr>
          <w:rFonts w:ascii="Times New Roman" w:hAnsi="Times New Roman" w:cs="Times New Roman"/>
          <w:color w:val="000000"/>
          <w:sz w:val="20"/>
          <w:szCs w:val="20"/>
        </w:rPr>
        <w:t xml:space="preserve"> this Transaction; it being </w:t>
      </w:r>
      <w:r w:rsidRPr="000E5579">
        <w:rPr>
          <w:rFonts w:ascii="Times New Roman" w:hAnsi="Times New Roman" w:cs="Times New Roman"/>
          <w:color w:val="000000"/>
          <w:sz w:val="20"/>
          <w:szCs w:val="20"/>
        </w:rPr>
        <w:lastRenderedPageBreak/>
        <w:t xml:space="preserve">understood that information and explanations related to the terms and conditions of this Transaction shall not be considered investment advice or a recommendation to </w:t>
      </w:r>
      <w:proofErr w:type="gramStart"/>
      <w:r w:rsidRPr="000E5579">
        <w:rPr>
          <w:rFonts w:ascii="Times New Roman" w:hAnsi="Times New Roman" w:cs="Times New Roman"/>
          <w:color w:val="000000"/>
          <w:sz w:val="20"/>
          <w:szCs w:val="20"/>
        </w:rPr>
        <w:t>enter into</w:t>
      </w:r>
      <w:proofErr w:type="gramEnd"/>
      <w:r w:rsidRPr="000E5579">
        <w:rPr>
          <w:rFonts w:ascii="Times New Roman" w:hAnsi="Times New Roman" w:cs="Times New Roman"/>
          <w:color w:val="000000"/>
          <w:sz w:val="20"/>
          <w:szCs w:val="20"/>
        </w:rPr>
        <w:t xml:space="preserve"> this Transaction. No communication (written or oral) received from the other party shall be deemed to be an assurance or guarantee as to the expected results </w:t>
      </w:r>
      <w:proofErr w:type="gramStart"/>
      <w:r w:rsidRPr="000E5579">
        <w:rPr>
          <w:rFonts w:ascii="Times New Roman" w:hAnsi="Times New Roman" w:cs="Times New Roman"/>
          <w:color w:val="000000"/>
          <w:sz w:val="20"/>
          <w:szCs w:val="20"/>
        </w:rPr>
        <w:t>of  this</w:t>
      </w:r>
      <w:proofErr w:type="gramEnd"/>
      <w:r w:rsidRPr="000E5579">
        <w:rPr>
          <w:rFonts w:ascii="Times New Roman" w:hAnsi="Times New Roman" w:cs="Times New Roman"/>
          <w:color w:val="000000"/>
          <w:sz w:val="20"/>
          <w:szCs w:val="20"/>
        </w:rPr>
        <w:t xml:space="preserve"> Transaction.</w:t>
      </w:r>
    </w:p>
    <w:p w14:paraId="1BFAB554" w14:textId="77777777" w:rsidR="00D00847" w:rsidRPr="000E5579" w:rsidRDefault="00D00847" w:rsidP="00D008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(ii) </w:t>
      </w:r>
      <w:r w:rsidRPr="000E5579">
        <w:rPr>
          <w:rFonts w:ascii="Times New Roman" w:hAnsi="Times New Roman" w:cs="Times New Roman"/>
          <w:b/>
          <w:color w:val="000000"/>
          <w:sz w:val="20"/>
          <w:szCs w:val="20"/>
        </w:rPr>
        <w:t xml:space="preserve">Assessment and </w:t>
      </w:r>
      <w:proofErr w:type="gramStart"/>
      <w:r w:rsidRPr="000E5579">
        <w:rPr>
          <w:rFonts w:ascii="Times New Roman" w:hAnsi="Times New Roman" w:cs="Times New Roman"/>
          <w:b/>
          <w:color w:val="000000"/>
          <w:sz w:val="20"/>
          <w:szCs w:val="20"/>
        </w:rPr>
        <w:t>Understanding</w:t>
      </w:r>
      <w:proofErr w:type="gramEnd"/>
      <w:r w:rsidRPr="000E5579">
        <w:rPr>
          <w:rFonts w:ascii="Times New Roman" w:hAnsi="Times New Roman" w:cs="Times New Roman"/>
          <w:b/>
          <w:color w:val="000000"/>
          <w:sz w:val="20"/>
          <w:szCs w:val="20"/>
        </w:rPr>
        <w:t>.</w:t>
      </w:r>
      <w:r w:rsidRPr="000E5579">
        <w:rPr>
          <w:rFonts w:ascii="Times New Roman" w:hAnsi="Times New Roman" w:cs="Times New Roman"/>
          <w:color w:val="000000"/>
          <w:sz w:val="20"/>
          <w:szCs w:val="20"/>
        </w:rPr>
        <w:t xml:space="preserve"> It </w:t>
      </w:r>
      <w:proofErr w:type="gramStart"/>
      <w:r w:rsidRPr="000E5579">
        <w:rPr>
          <w:rFonts w:ascii="Times New Roman" w:hAnsi="Times New Roman" w:cs="Times New Roman"/>
          <w:color w:val="000000"/>
          <w:sz w:val="20"/>
          <w:szCs w:val="20"/>
        </w:rPr>
        <w:t>is capable of assessing</w:t>
      </w:r>
      <w:proofErr w:type="gramEnd"/>
      <w:r w:rsidRPr="000E5579">
        <w:rPr>
          <w:rFonts w:ascii="Times New Roman" w:hAnsi="Times New Roman" w:cs="Times New Roman"/>
          <w:color w:val="000000"/>
          <w:sz w:val="20"/>
          <w:szCs w:val="20"/>
        </w:rPr>
        <w:t xml:space="preserve"> the merits of and understanding (on its own behalf or through independent professional advice), and understands and accepts, the terms, conditions and risks of this Transaction. It is also capable of assuming, and assumes, the risks of this Transaction.</w:t>
      </w:r>
    </w:p>
    <w:p w14:paraId="0C2ED41B" w14:textId="1F4A0C67" w:rsidR="001F13EB" w:rsidRPr="000E5579" w:rsidRDefault="00D00847" w:rsidP="001F13EB">
      <w:pPr>
        <w:tabs>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tLeast"/>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(iii) </w:t>
      </w:r>
      <w:r w:rsidRPr="000E5579">
        <w:rPr>
          <w:rFonts w:ascii="Times New Roman" w:hAnsi="Times New Roman" w:cs="Times New Roman"/>
          <w:b/>
          <w:color w:val="000000"/>
          <w:sz w:val="20"/>
          <w:szCs w:val="20"/>
        </w:rPr>
        <w:t>Status of Parties.</w:t>
      </w:r>
      <w:r w:rsidRPr="000E5579">
        <w:rPr>
          <w:rFonts w:ascii="Times New Roman" w:hAnsi="Times New Roman" w:cs="Times New Roman"/>
          <w:color w:val="000000"/>
          <w:sz w:val="20"/>
          <w:szCs w:val="20"/>
        </w:rPr>
        <w:t xml:space="preserve"> The other party is not acting as a fiduciary for, or an adviser to it in respect of this Transaction.</w:t>
      </w:r>
    </w:p>
    <w:p w14:paraId="7EE371DE" w14:textId="77777777" w:rsidR="001F13EB" w:rsidRPr="000E5579" w:rsidRDefault="001F13EB" w:rsidP="001F13EB">
      <w:pPr>
        <w:tabs>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tLeast"/>
        <w:jc w:val="both"/>
        <w:rPr>
          <w:rFonts w:ascii="Times New Roman" w:hAnsi="Times New Roman" w:cs="Times New Roman"/>
          <w:color w:val="000000"/>
          <w:sz w:val="20"/>
          <w:szCs w:val="20"/>
        </w:rPr>
      </w:pPr>
    </w:p>
    <w:p w14:paraId="12F42873" w14:textId="3B9CDF49" w:rsidR="001F13EB" w:rsidRPr="000E5579" w:rsidRDefault="001F13EB" w:rsidP="001F13EB">
      <w:pPr>
        <w:tabs>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tLeast"/>
        <w:jc w:val="both"/>
        <w:rPr>
          <w:rFonts w:ascii="Times New Roman" w:hAnsi="Times New Roman" w:cs="Times New Roman"/>
          <w:sz w:val="20"/>
          <w:szCs w:val="20"/>
        </w:rPr>
      </w:pPr>
      <w:r w:rsidRPr="000E5579">
        <w:rPr>
          <w:rFonts w:ascii="Times New Roman" w:hAnsi="Times New Roman" w:cs="Times New Roman"/>
          <w:sz w:val="20"/>
          <w:szCs w:val="20"/>
        </w:rPr>
        <w:t xml:space="preserve">Please confirm that the foregoing correctly sets forth the terms of our agreement by executing the copy of this Confirmation enclosed for that purpose and returning it to us or by sending to us a confirmation substantially </w:t>
      </w:r>
      <w:proofErr w:type="gramStart"/>
      <w:r w:rsidRPr="000E5579">
        <w:rPr>
          <w:rFonts w:ascii="Times New Roman" w:hAnsi="Times New Roman" w:cs="Times New Roman"/>
          <w:sz w:val="20"/>
          <w:szCs w:val="20"/>
        </w:rPr>
        <w:t>similar to</w:t>
      </w:r>
      <w:proofErr w:type="gramEnd"/>
      <w:r w:rsidRPr="000E5579">
        <w:rPr>
          <w:rFonts w:ascii="Times New Roman" w:hAnsi="Times New Roman" w:cs="Times New Roman"/>
          <w:sz w:val="20"/>
          <w:szCs w:val="20"/>
        </w:rPr>
        <w:t xml:space="preserve"> this Confirmation, which confirmation sets forth the material terms of the Transaction to which this Confirmation relates and indicates your agreement to those terms. </w:t>
      </w:r>
    </w:p>
    <w:p w14:paraId="3BC07156" w14:textId="77777777" w:rsidR="001F13EB" w:rsidRPr="000E5579" w:rsidRDefault="001F13EB" w:rsidP="001F13EB">
      <w:pPr>
        <w:autoSpaceDE w:val="0"/>
        <w:autoSpaceDN w:val="0"/>
        <w:adjustRightInd w:val="0"/>
        <w:spacing w:after="0" w:line="240" w:lineRule="auto"/>
        <w:rPr>
          <w:rFonts w:ascii="Times New Roman" w:hAnsi="Times New Roman" w:cs="Times New Roman"/>
          <w:color w:val="000000"/>
          <w:sz w:val="20"/>
          <w:szCs w:val="20"/>
        </w:rPr>
      </w:pPr>
    </w:p>
    <w:p w14:paraId="60C8B480" w14:textId="77777777" w:rsidR="001F13EB" w:rsidRPr="000E5579" w:rsidRDefault="001F13EB" w:rsidP="001F13EB">
      <w:pPr>
        <w:autoSpaceDE w:val="0"/>
        <w:autoSpaceDN w:val="0"/>
        <w:adjustRightInd w:val="0"/>
        <w:spacing w:after="0" w:line="240" w:lineRule="auto"/>
        <w:ind w:left="5760" w:firstLine="720"/>
        <w:rPr>
          <w:rFonts w:ascii="Times New Roman" w:hAnsi="Times New Roman" w:cs="Times New Roman"/>
          <w:color w:val="000000"/>
          <w:sz w:val="20"/>
          <w:szCs w:val="20"/>
        </w:rPr>
      </w:pPr>
      <w:r w:rsidRPr="00AB2677">
        <w:rPr>
          <w:rFonts w:ascii="Times New Roman" w:hAnsi="Times New Roman" w:cs="Times New Roman"/>
          <w:color w:val="000000"/>
          <w:sz w:val="20"/>
          <w:szCs w:val="20"/>
        </w:rPr>
        <w:t xml:space="preserve">Yours faithfully, </w:t>
      </w:r>
    </w:p>
    <w:p w14:paraId="0EC17E8D" w14:textId="77777777" w:rsidR="001F13EB" w:rsidRPr="000E5579" w:rsidRDefault="001F13EB" w:rsidP="001F13EB">
      <w:pPr>
        <w:autoSpaceDE w:val="0"/>
        <w:autoSpaceDN w:val="0"/>
        <w:adjustRightInd w:val="0"/>
        <w:spacing w:after="0" w:line="240" w:lineRule="auto"/>
        <w:ind w:left="5760" w:firstLine="720"/>
        <w:rPr>
          <w:rFonts w:ascii="Times New Roman" w:hAnsi="Times New Roman" w:cs="Times New Roman"/>
          <w:color w:val="000000"/>
          <w:sz w:val="20"/>
          <w:szCs w:val="20"/>
        </w:rPr>
      </w:pPr>
      <w:r w:rsidRPr="00AB2677">
        <w:rPr>
          <w:rFonts w:ascii="Times New Roman" w:hAnsi="Times New Roman" w:cs="Times New Roman"/>
          <w:color w:val="000000"/>
          <w:sz w:val="20"/>
          <w:szCs w:val="20"/>
        </w:rPr>
        <w:t xml:space="preserve">[PARTY A] </w:t>
      </w:r>
    </w:p>
    <w:p w14:paraId="302097DA" w14:textId="77777777" w:rsidR="001F13EB" w:rsidRPr="000E5579" w:rsidRDefault="001F13EB" w:rsidP="001F13EB">
      <w:pPr>
        <w:autoSpaceDE w:val="0"/>
        <w:autoSpaceDN w:val="0"/>
        <w:adjustRightInd w:val="0"/>
        <w:spacing w:after="0" w:line="240" w:lineRule="auto"/>
        <w:ind w:left="5760" w:firstLine="720"/>
        <w:rPr>
          <w:rFonts w:ascii="Times New Roman" w:hAnsi="Times New Roman" w:cs="Times New Roman"/>
          <w:color w:val="000000"/>
          <w:sz w:val="20"/>
          <w:szCs w:val="20"/>
        </w:rPr>
      </w:pPr>
    </w:p>
    <w:p w14:paraId="6D6E5B9C" w14:textId="77777777" w:rsidR="001F13EB" w:rsidRPr="000E5579" w:rsidRDefault="001F13EB" w:rsidP="001F13EB">
      <w:pPr>
        <w:autoSpaceDE w:val="0"/>
        <w:autoSpaceDN w:val="0"/>
        <w:adjustRightInd w:val="0"/>
        <w:spacing w:after="0" w:line="240" w:lineRule="auto"/>
        <w:ind w:left="5760" w:firstLine="720"/>
        <w:rPr>
          <w:rFonts w:ascii="Times New Roman" w:hAnsi="Times New Roman" w:cs="Times New Roman"/>
          <w:color w:val="000000"/>
          <w:sz w:val="20"/>
          <w:szCs w:val="20"/>
        </w:rPr>
      </w:pPr>
      <w:r w:rsidRPr="00AB2677">
        <w:rPr>
          <w:rFonts w:ascii="Times New Roman" w:hAnsi="Times New Roman" w:cs="Times New Roman"/>
          <w:color w:val="000000"/>
          <w:sz w:val="20"/>
          <w:szCs w:val="20"/>
        </w:rPr>
        <w:t xml:space="preserve">By: </w:t>
      </w:r>
      <w:r w:rsidRPr="000E5579">
        <w:rPr>
          <w:rFonts w:ascii="Times New Roman" w:hAnsi="Times New Roman" w:cs="Times New Roman"/>
          <w:color w:val="000000"/>
          <w:sz w:val="20"/>
          <w:szCs w:val="20"/>
        </w:rPr>
        <w:t>______________________</w:t>
      </w:r>
    </w:p>
    <w:p w14:paraId="3DBD7292" w14:textId="77777777" w:rsidR="001F13EB" w:rsidRPr="000E5579" w:rsidRDefault="001F13EB" w:rsidP="001F13EB">
      <w:pPr>
        <w:autoSpaceDE w:val="0"/>
        <w:autoSpaceDN w:val="0"/>
        <w:adjustRightInd w:val="0"/>
        <w:spacing w:after="0" w:line="240" w:lineRule="auto"/>
        <w:ind w:left="5760" w:firstLine="720"/>
        <w:rPr>
          <w:rFonts w:ascii="Times New Roman" w:hAnsi="Times New Roman" w:cs="Times New Roman"/>
          <w:color w:val="000000"/>
          <w:sz w:val="20"/>
          <w:szCs w:val="20"/>
        </w:rPr>
      </w:pPr>
      <w:r w:rsidRPr="00AB2677">
        <w:rPr>
          <w:rFonts w:ascii="Times New Roman" w:hAnsi="Times New Roman" w:cs="Times New Roman"/>
          <w:color w:val="000000"/>
          <w:sz w:val="20"/>
          <w:szCs w:val="20"/>
        </w:rPr>
        <w:t xml:space="preserve">Name: </w:t>
      </w:r>
    </w:p>
    <w:p w14:paraId="27E13178" w14:textId="77777777" w:rsidR="001F13EB" w:rsidRPr="00AB2677" w:rsidRDefault="001F13EB" w:rsidP="001F13EB">
      <w:pPr>
        <w:autoSpaceDE w:val="0"/>
        <w:autoSpaceDN w:val="0"/>
        <w:adjustRightInd w:val="0"/>
        <w:spacing w:after="0" w:line="240" w:lineRule="auto"/>
        <w:ind w:left="5760" w:firstLine="720"/>
        <w:rPr>
          <w:rFonts w:ascii="Times New Roman" w:hAnsi="Times New Roman" w:cs="Times New Roman"/>
          <w:color w:val="000000"/>
          <w:sz w:val="20"/>
          <w:szCs w:val="20"/>
        </w:rPr>
      </w:pPr>
      <w:r w:rsidRPr="00AB2677">
        <w:rPr>
          <w:rFonts w:ascii="Times New Roman" w:hAnsi="Times New Roman" w:cs="Times New Roman"/>
          <w:color w:val="000000"/>
          <w:sz w:val="20"/>
          <w:szCs w:val="20"/>
        </w:rPr>
        <w:t xml:space="preserve">Title: </w:t>
      </w:r>
    </w:p>
    <w:p w14:paraId="053387B0" w14:textId="77777777" w:rsidR="001F13EB" w:rsidRPr="000E5579" w:rsidRDefault="001F13EB" w:rsidP="001F13EB">
      <w:pPr>
        <w:autoSpaceDE w:val="0"/>
        <w:autoSpaceDN w:val="0"/>
        <w:adjustRightInd w:val="0"/>
        <w:spacing w:after="0" w:line="240" w:lineRule="auto"/>
        <w:rPr>
          <w:rFonts w:ascii="Times New Roman" w:hAnsi="Times New Roman" w:cs="Times New Roman"/>
          <w:color w:val="000000"/>
          <w:sz w:val="20"/>
          <w:szCs w:val="20"/>
        </w:rPr>
      </w:pPr>
    </w:p>
    <w:p w14:paraId="24E91C2B" w14:textId="77777777" w:rsidR="001F13EB" w:rsidRPr="00AB2677" w:rsidRDefault="001F13EB" w:rsidP="001F13EB">
      <w:pPr>
        <w:autoSpaceDE w:val="0"/>
        <w:autoSpaceDN w:val="0"/>
        <w:adjustRightInd w:val="0"/>
        <w:spacing w:after="0" w:line="240" w:lineRule="auto"/>
        <w:rPr>
          <w:rFonts w:ascii="Times New Roman" w:hAnsi="Times New Roman" w:cs="Times New Roman"/>
          <w:color w:val="000000"/>
          <w:sz w:val="20"/>
          <w:szCs w:val="20"/>
        </w:rPr>
      </w:pPr>
      <w:r w:rsidRPr="00AB2677">
        <w:rPr>
          <w:rFonts w:ascii="Times New Roman" w:hAnsi="Times New Roman" w:cs="Times New Roman"/>
          <w:color w:val="000000"/>
          <w:sz w:val="20"/>
          <w:szCs w:val="20"/>
        </w:rPr>
        <w:t xml:space="preserve">Confirmed as of the date first above written: </w:t>
      </w:r>
    </w:p>
    <w:p w14:paraId="1DEA5E10" w14:textId="77777777" w:rsidR="001F13EB" w:rsidRPr="00AB2677" w:rsidRDefault="001F13EB" w:rsidP="001F13EB">
      <w:pPr>
        <w:autoSpaceDE w:val="0"/>
        <w:autoSpaceDN w:val="0"/>
        <w:adjustRightInd w:val="0"/>
        <w:spacing w:after="0" w:line="240" w:lineRule="auto"/>
        <w:rPr>
          <w:rFonts w:ascii="Times New Roman" w:hAnsi="Times New Roman" w:cs="Times New Roman"/>
          <w:color w:val="000000"/>
          <w:sz w:val="20"/>
          <w:szCs w:val="20"/>
        </w:rPr>
      </w:pPr>
      <w:r w:rsidRPr="00AB2677">
        <w:rPr>
          <w:rFonts w:ascii="Times New Roman" w:hAnsi="Times New Roman" w:cs="Times New Roman"/>
          <w:color w:val="000000"/>
          <w:sz w:val="20"/>
          <w:szCs w:val="20"/>
        </w:rPr>
        <w:t xml:space="preserve">[PARTY B] </w:t>
      </w:r>
    </w:p>
    <w:p w14:paraId="43274761" w14:textId="77777777" w:rsidR="001F13EB" w:rsidRPr="001F13EB" w:rsidRDefault="001F13EB" w:rsidP="001F13EB">
      <w:pPr>
        <w:autoSpaceDE w:val="0"/>
        <w:autoSpaceDN w:val="0"/>
        <w:adjustRightInd w:val="0"/>
        <w:spacing w:after="0" w:line="240" w:lineRule="auto"/>
        <w:rPr>
          <w:rFonts w:ascii="Times New Roman" w:hAnsi="Times New Roman" w:cs="Times New Roman"/>
          <w:color w:val="000000"/>
          <w:sz w:val="20"/>
          <w:szCs w:val="20"/>
        </w:rPr>
      </w:pPr>
    </w:p>
    <w:p w14:paraId="54EA3D96" w14:textId="77777777" w:rsidR="001F13EB" w:rsidRPr="00AB2677" w:rsidRDefault="001F13EB" w:rsidP="001F13EB">
      <w:pPr>
        <w:autoSpaceDE w:val="0"/>
        <w:autoSpaceDN w:val="0"/>
        <w:adjustRightInd w:val="0"/>
        <w:spacing w:after="0" w:line="240" w:lineRule="auto"/>
        <w:rPr>
          <w:rFonts w:ascii="Times New Roman" w:hAnsi="Times New Roman" w:cs="Times New Roman"/>
          <w:color w:val="000000"/>
          <w:sz w:val="20"/>
          <w:szCs w:val="20"/>
        </w:rPr>
      </w:pPr>
      <w:proofErr w:type="gramStart"/>
      <w:r w:rsidRPr="00AB2677">
        <w:rPr>
          <w:rFonts w:ascii="Times New Roman" w:hAnsi="Times New Roman" w:cs="Times New Roman"/>
          <w:color w:val="000000"/>
          <w:sz w:val="20"/>
          <w:szCs w:val="20"/>
        </w:rPr>
        <w:t>By:</w:t>
      </w:r>
      <w:r w:rsidRPr="001F13EB">
        <w:rPr>
          <w:rFonts w:ascii="Times New Roman" w:hAnsi="Times New Roman" w:cs="Times New Roman"/>
          <w:color w:val="000000"/>
          <w:sz w:val="20"/>
          <w:szCs w:val="20"/>
        </w:rPr>
        <w:t>_</w:t>
      </w:r>
      <w:proofErr w:type="gramEnd"/>
      <w:r w:rsidRPr="001F13EB">
        <w:rPr>
          <w:rFonts w:ascii="Times New Roman" w:hAnsi="Times New Roman" w:cs="Times New Roman"/>
          <w:color w:val="000000"/>
          <w:sz w:val="20"/>
          <w:szCs w:val="20"/>
        </w:rPr>
        <w:t>_______________________________</w:t>
      </w:r>
    </w:p>
    <w:p w14:paraId="39498C2B" w14:textId="77777777" w:rsidR="001F13EB" w:rsidRPr="00AB2677" w:rsidRDefault="001F13EB" w:rsidP="001F13EB">
      <w:pPr>
        <w:autoSpaceDE w:val="0"/>
        <w:autoSpaceDN w:val="0"/>
        <w:adjustRightInd w:val="0"/>
        <w:spacing w:after="0" w:line="240" w:lineRule="auto"/>
        <w:rPr>
          <w:rFonts w:ascii="Times New Roman" w:hAnsi="Times New Roman" w:cs="Times New Roman"/>
          <w:color w:val="000000"/>
          <w:sz w:val="20"/>
          <w:szCs w:val="20"/>
        </w:rPr>
      </w:pPr>
      <w:r w:rsidRPr="00AB2677">
        <w:rPr>
          <w:rFonts w:ascii="Times New Roman" w:hAnsi="Times New Roman" w:cs="Times New Roman"/>
          <w:color w:val="000000"/>
          <w:sz w:val="20"/>
          <w:szCs w:val="20"/>
        </w:rPr>
        <w:t xml:space="preserve">Name: </w:t>
      </w:r>
    </w:p>
    <w:p w14:paraId="55931DF1" w14:textId="77777777" w:rsidR="001F13EB" w:rsidRPr="001F13EB" w:rsidRDefault="001F13EB" w:rsidP="001F13EB">
      <w:pPr>
        <w:tabs>
          <w:tab w:val="left" w:pos="108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rPr>
          <w:rFonts w:ascii="Times New Roman" w:hAnsi="Times New Roman" w:cs="Times New Roman"/>
        </w:rPr>
      </w:pPr>
      <w:r w:rsidRPr="001F13EB">
        <w:rPr>
          <w:rFonts w:ascii="Times New Roman" w:hAnsi="Times New Roman" w:cs="Times New Roman"/>
          <w:color w:val="000000"/>
          <w:sz w:val="20"/>
          <w:szCs w:val="20"/>
        </w:rPr>
        <w:t>Title:</w:t>
      </w:r>
    </w:p>
    <w:p w14:paraId="1C2FEB84" w14:textId="77777777" w:rsidR="00D3198F" w:rsidRDefault="00D3198F" w:rsidP="00D00847">
      <w:pPr>
        <w:tabs>
          <w:tab w:val="left" w:pos="7939"/>
        </w:tabs>
      </w:pPr>
    </w:p>
    <w:p w14:paraId="4518C0F6" w14:textId="77777777" w:rsidR="00494CE0" w:rsidRDefault="00494CE0" w:rsidP="00D00847">
      <w:pPr>
        <w:tabs>
          <w:tab w:val="left" w:pos="7939"/>
        </w:tabs>
      </w:pPr>
    </w:p>
    <w:p w14:paraId="240F9755" w14:textId="77777777" w:rsidR="00494CE0" w:rsidRDefault="00494CE0" w:rsidP="00D00847">
      <w:pPr>
        <w:tabs>
          <w:tab w:val="left" w:pos="7939"/>
        </w:tabs>
      </w:pPr>
    </w:p>
    <w:p w14:paraId="389EF1FA" w14:textId="77777777" w:rsidR="00494CE0" w:rsidRDefault="00494CE0" w:rsidP="00D00847">
      <w:pPr>
        <w:tabs>
          <w:tab w:val="left" w:pos="7939"/>
        </w:tabs>
      </w:pPr>
    </w:p>
    <w:p w14:paraId="0FBD914E" w14:textId="77777777" w:rsidR="00494CE0" w:rsidRDefault="00494CE0" w:rsidP="00D00847">
      <w:pPr>
        <w:tabs>
          <w:tab w:val="left" w:pos="7939"/>
        </w:tabs>
      </w:pPr>
    </w:p>
    <w:p w14:paraId="4348B2CC" w14:textId="77777777" w:rsidR="00494CE0" w:rsidRDefault="00494CE0" w:rsidP="00D00847">
      <w:pPr>
        <w:tabs>
          <w:tab w:val="left" w:pos="7939"/>
        </w:tabs>
      </w:pPr>
    </w:p>
    <w:p w14:paraId="545773BA" w14:textId="77777777" w:rsidR="00494CE0" w:rsidRDefault="00494CE0" w:rsidP="00D00847">
      <w:pPr>
        <w:tabs>
          <w:tab w:val="left" w:pos="7939"/>
        </w:tabs>
      </w:pPr>
    </w:p>
    <w:p w14:paraId="71F39630" w14:textId="77777777" w:rsidR="005A496B" w:rsidRDefault="005A496B" w:rsidP="00D00847">
      <w:pPr>
        <w:tabs>
          <w:tab w:val="left" w:pos="7939"/>
        </w:tabs>
      </w:pPr>
    </w:p>
    <w:p w14:paraId="264D5485" w14:textId="77777777" w:rsidR="005A496B" w:rsidRDefault="005A496B" w:rsidP="00D00847">
      <w:pPr>
        <w:tabs>
          <w:tab w:val="left" w:pos="7939"/>
        </w:tabs>
      </w:pPr>
    </w:p>
    <w:p w14:paraId="2707E77E" w14:textId="77777777" w:rsidR="005A496B" w:rsidRDefault="005A496B" w:rsidP="00D00847">
      <w:pPr>
        <w:tabs>
          <w:tab w:val="left" w:pos="7939"/>
        </w:tabs>
      </w:pPr>
    </w:p>
    <w:p w14:paraId="01FC6789" w14:textId="77777777" w:rsidR="001361BE" w:rsidRDefault="001361BE" w:rsidP="00D00847">
      <w:pPr>
        <w:tabs>
          <w:tab w:val="left" w:pos="7939"/>
        </w:tabs>
      </w:pPr>
    </w:p>
    <w:p w14:paraId="2CF9ECB1" w14:textId="4841696D" w:rsidR="00D7564D" w:rsidRPr="006747F5" w:rsidRDefault="00D7564D" w:rsidP="00D7564D">
      <w:pPr>
        <w:tabs>
          <w:tab w:val="left" w:pos="7939"/>
        </w:tabs>
        <w:jc w:val="both"/>
        <w:rPr>
          <w:rFonts w:ascii="Times New Roman" w:hAnsi="Times New Roman" w:cs="Times New Roman"/>
          <w:sz w:val="20"/>
          <w:szCs w:val="20"/>
        </w:rPr>
      </w:pPr>
    </w:p>
    <w:sectPr w:rsidR="00D7564D" w:rsidRPr="006747F5" w:rsidSect="0020282E">
      <w:headerReference w:type="even" r:id="rId14"/>
      <w:headerReference w:type="default" r:id="rId15"/>
      <w:footerReference w:type="even" r:id="rId16"/>
      <w:footerReference w:type="defaul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EC24A" w14:textId="77777777" w:rsidR="005E2BF0" w:rsidRDefault="005E2BF0" w:rsidP="00D00847">
      <w:pPr>
        <w:spacing w:after="0" w:line="240" w:lineRule="auto"/>
      </w:pPr>
      <w:r>
        <w:separator/>
      </w:r>
    </w:p>
  </w:endnote>
  <w:endnote w:type="continuationSeparator" w:id="0">
    <w:p w14:paraId="04BB5359" w14:textId="77777777" w:rsidR="005E2BF0" w:rsidRDefault="005E2BF0" w:rsidP="00D00847">
      <w:pPr>
        <w:spacing w:after="0" w:line="240" w:lineRule="auto"/>
      </w:pPr>
      <w:r>
        <w:continuationSeparator/>
      </w:r>
    </w:p>
  </w:endnote>
  <w:endnote w:type="continuationNotice" w:id="1">
    <w:p w14:paraId="43632F13" w14:textId="77777777" w:rsidR="005E2BF0" w:rsidRDefault="005E2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F52D" w14:textId="45E5BF69" w:rsidR="00093DEE" w:rsidRDefault="00EA1D22">
    <w:pPr>
      <w:pStyle w:val="a5"/>
    </w:pPr>
    <w:r>
      <w:rPr>
        <w:noProof/>
        <w:lang w:val="ru-RU" w:eastAsia="ru-RU"/>
      </w:rPr>
      <mc:AlternateContent>
        <mc:Choice Requires="wps">
          <w:drawing>
            <wp:anchor distT="0" distB="0" distL="0" distR="0" simplePos="0" relativeHeight="251658243" behindDoc="0" locked="0" layoutInCell="1" allowOverlap="1" wp14:anchorId="19ECFDDB" wp14:editId="0DD94669">
              <wp:simplePos x="635" y="635"/>
              <wp:positionH relativeFrom="page">
                <wp:align>center</wp:align>
              </wp:positionH>
              <wp:positionV relativeFrom="page">
                <wp:align>bottom</wp:align>
              </wp:positionV>
              <wp:extent cx="443865" cy="443865"/>
              <wp:effectExtent l="0" t="0" r="14605" b="0"/>
              <wp:wrapNone/>
              <wp:docPr id="161247384" name="Text Box 5"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9AF9A0" w14:textId="586755B3" w:rsidR="00EA1D22" w:rsidRPr="00EA1D22" w:rsidRDefault="00EA1D22" w:rsidP="00EA1D22">
                          <w:pPr>
                            <w:spacing w:after="0"/>
                            <w:rPr>
                              <w:rFonts w:ascii="Calibri" w:eastAsia="Calibri" w:hAnsi="Calibri" w:cs="Calibri"/>
                              <w:noProof/>
                              <w:color w:val="0000FF"/>
                              <w:sz w:val="20"/>
                              <w:szCs w:val="20"/>
                            </w:rPr>
                          </w:pPr>
                          <w:r w:rsidRPr="00EA1D22">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ECFDDB" id="_x0000_t202" coordsize="21600,21600" o:spt="202" path="m,l,21600r21600,l21600,xe">
              <v:stroke joinstyle="miter"/>
              <v:path gradientshapeok="t" o:connecttype="rect"/>
            </v:shapetype>
            <v:shape id="Text Box 5" o:spid="_x0000_s1028" type="#_x0000_t202" alt="OFFICIAL US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49AF9A0" w14:textId="586755B3" w:rsidR="00EA1D22" w:rsidRPr="00EA1D22" w:rsidRDefault="00EA1D22" w:rsidP="00EA1D22">
                    <w:pPr>
                      <w:spacing w:after="0"/>
                      <w:rPr>
                        <w:rFonts w:ascii="Calibri" w:eastAsia="Calibri" w:hAnsi="Calibri" w:cs="Calibri"/>
                        <w:noProof/>
                        <w:color w:val="0000FF"/>
                        <w:sz w:val="20"/>
                        <w:szCs w:val="20"/>
                      </w:rPr>
                    </w:pPr>
                    <w:r w:rsidRPr="00EA1D22">
                      <w:rPr>
                        <w:rFonts w:ascii="Calibri" w:eastAsia="Calibri" w:hAnsi="Calibri" w:cs="Calibri"/>
                        <w:noProof/>
                        <w:color w:val="0000FF"/>
                        <w:sz w:val="20"/>
                        <w:szCs w:val="20"/>
                      </w:rPr>
                      <w:t>OFFICIAL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4B54" w14:textId="22FE577B" w:rsidR="00D00847" w:rsidRDefault="00E04DA1">
    <w:pPr>
      <w:pStyle w:val="a5"/>
      <w:jc w:val="center"/>
      <w:rPr>
        <w:noProof/>
      </w:rPr>
    </w:pPr>
    <w:sdt>
      <w:sdtPr>
        <w:id w:val="-504359819"/>
        <w:docPartObj>
          <w:docPartGallery w:val="Page Numbers (Bottom of Page)"/>
          <w:docPartUnique/>
        </w:docPartObj>
      </w:sdtPr>
      <w:sdtEndPr>
        <w:rPr>
          <w:noProof/>
        </w:rPr>
      </w:sdtEndPr>
      <w:sdtContent>
        <w:r w:rsidR="00D00847">
          <w:fldChar w:fldCharType="begin"/>
        </w:r>
        <w:r w:rsidR="00D00847">
          <w:instrText xml:space="preserve"> PAGE   \* MERGEFORMAT </w:instrText>
        </w:r>
        <w:r w:rsidR="00D00847">
          <w:fldChar w:fldCharType="separate"/>
        </w:r>
        <w:r w:rsidR="0035765D">
          <w:rPr>
            <w:noProof/>
          </w:rPr>
          <w:t>2</w:t>
        </w:r>
        <w:r w:rsidR="00D0084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0B9A" w14:textId="502B9826" w:rsidR="00093DEE" w:rsidRDefault="00EA1D22">
    <w:pPr>
      <w:pStyle w:val="a5"/>
    </w:pPr>
    <w:r>
      <w:rPr>
        <w:noProof/>
        <w:lang w:val="ru-RU" w:eastAsia="ru-RU"/>
      </w:rPr>
      <mc:AlternateContent>
        <mc:Choice Requires="wps">
          <w:drawing>
            <wp:anchor distT="0" distB="0" distL="0" distR="0" simplePos="0" relativeHeight="251658242" behindDoc="0" locked="0" layoutInCell="1" allowOverlap="1" wp14:anchorId="3378C90A" wp14:editId="692EC05C">
              <wp:simplePos x="635" y="635"/>
              <wp:positionH relativeFrom="page">
                <wp:align>center</wp:align>
              </wp:positionH>
              <wp:positionV relativeFrom="page">
                <wp:align>bottom</wp:align>
              </wp:positionV>
              <wp:extent cx="443865" cy="443865"/>
              <wp:effectExtent l="0" t="0" r="14605" b="0"/>
              <wp:wrapNone/>
              <wp:docPr id="1295699609" name="Text Box 4"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FFC28E" w14:textId="1AD7846D" w:rsidR="00EA1D22" w:rsidRPr="00EA1D22" w:rsidRDefault="00EA1D22" w:rsidP="00EA1D22">
                          <w:pPr>
                            <w:spacing w:after="0"/>
                            <w:rPr>
                              <w:rFonts w:ascii="Calibri" w:eastAsia="Calibri" w:hAnsi="Calibri" w:cs="Calibri"/>
                              <w:noProof/>
                              <w:color w:val="0000FF"/>
                              <w:sz w:val="20"/>
                              <w:szCs w:val="20"/>
                            </w:rPr>
                          </w:pPr>
                          <w:r w:rsidRPr="00EA1D22">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78C90A" id="_x0000_t202" coordsize="21600,21600" o:spt="202" path="m,l,21600r21600,l21600,xe">
              <v:stroke joinstyle="miter"/>
              <v:path gradientshapeok="t" o:connecttype="rect"/>
            </v:shapetype>
            <v:shape id="Text Box 4" o:spid="_x0000_s1029" type="#_x0000_t202" alt="OFFICIAL USE"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CFFC28E" w14:textId="1AD7846D" w:rsidR="00EA1D22" w:rsidRPr="00EA1D22" w:rsidRDefault="00EA1D22" w:rsidP="00EA1D22">
                    <w:pPr>
                      <w:spacing w:after="0"/>
                      <w:rPr>
                        <w:rFonts w:ascii="Calibri" w:eastAsia="Calibri" w:hAnsi="Calibri" w:cs="Calibri"/>
                        <w:noProof/>
                        <w:color w:val="0000FF"/>
                        <w:sz w:val="20"/>
                        <w:szCs w:val="20"/>
                      </w:rPr>
                    </w:pPr>
                    <w:r w:rsidRPr="00EA1D22">
                      <w:rPr>
                        <w:rFonts w:ascii="Calibri" w:eastAsia="Calibri" w:hAnsi="Calibri" w:cs="Calibri"/>
                        <w:noProof/>
                        <w:color w:val="0000FF"/>
                        <w:sz w:val="20"/>
                        <w:szCs w:val="20"/>
                      </w:rPr>
                      <w:t>OFFICIAL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0E20C" w14:textId="77777777" w:rsidR="005E2BF0" w:rsidRDefault="005E2BF0" w:rsidP="00D00847">
      <w:pPr>
        <w:spacing w:after="0" w:line="240" w:lineRule="auto"/>
      </w:pPr>
      <w:r>
        <w:separator/>
      </w:r>
    </w:p>
  </w:footnote>
  <w:footnote w:type="continuationSeparator" w:id="0">
    <w:p w14:paraId="40CC46CF" w14:textId="77777777" w:rsidR="005E2BF0" w:rsidRDefault="005E2BF0" w:rsidP="00D00847">
      <w:pPr>
        <w:spacing w:after="0" w:line="240" w:lineRule="auto"/>
      </w:pPr>
      <w:r>
        <w:continuationSeparator/>
      </w:r>
    </w:p>
  </w:footnote>
  <w:footnote w:type="continuationNotice" w:id="1">
    <w:p w14:paraId="6859FC98" w14:textId="77777777" w:rsidR="005E2BF0" w:rsidRDefault="005E2BF0">
      <w:pPr>
        <w:spacing w:after="0" w:line="240" w:lineRule="auto"/>
      </w:pPr>
    </w:p>
  </w:footnote>
  <w:footnote w:id="2">
    <w:p w14:paraId="3FAEFDFE" w14:textId="41D2FA47" w:rsidR="00012DDE" w:rsidRDefault="00012DDE">
      <w:pPr>
        <w:pStyle w:val="af4"/>
      </w:pPr>
      <w:r>
        <w:rPr>
          <w:rStyle w:val="af6"/>
        </w:rPr>
        <w:footnoteRef/>
      </w:r>
      <w:r>
        <w:t xml:space="preserve"> </w:t>
      </w:r>
      <w:r w:rsidRPr="00012DDE">
        <w:rPr>
          <w:rFonts w:ascii="Times New Roman" w:hAnsi="Times New Roman" w:cs="Times New Roman"/>
          <w:sz w:val="18"/>
          <w:szCs w:val="18"/>
        </w:rPr>
        <w:t>Include the appropriate Business Day Convention if the parties wish to provide that the Termination Date will be adjusted in accordance with a Business Day Convention (and, accordingly, that the final Calculation Period will be shortened or lengthened).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C4AE" w14:textId="0F780021" w:rsidR="00093DEE" w:rsidRDefault="00EA1D22">
    <w:pPr>
      <w:pStyle w:val="a3"/>
    </w:pPr>
    <w:r>
      <w:rPr>
        <w:noProof/>
        <w:lang w:val="ru-RU" w:eastAsia="ru-RU"/>
      </w:rPr>
      <mc:AlternateContent>
        <mc:Choice Requires="wps">
          <w:drawing>
            <wp:anchor distT="0" distB="0" distL="0" distR="0" simplePos="0" relativeHeight="251658240" behindDoc="0" locked="0" layoutInCell="1" allowOverlap="1" wp14:anchorId="09A9B02F" wp14:editId="5C59DFA2">
              <wp:simplePos x="635" y="635"/>
              <wp:positionH relativeFrom="page">
                <wp:align>center</wp:align>
              </wp:positionH>
              <wp:positionV relativeFrom="page">
                <wp:align>top</wp:align>
              </wp:positionV>
              <wp:extent cx="443865" cy="443865"/>
              <wp:effectExtent l="0" t="0" r="14605" b="4445"/>
              <wp:wrapNone/>
              <wp:docPr id="442102966" name="Text Box 2"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4E78AD" w14:textId="5C783BEB" w:rsidR="00EA1D22" w:rsidRPr="00EA1D22" w:rsidRDefault="00EA1D22" w:rsidP="00EA1D22">
                          <w:pPr>
                            <w:spacing w:after="0"/>
                            <w:rPr>
                              <w:rFonts w:ascii="Calibri" w:eastAsia="Calibri" w:hAnsi="Calibri" w:cs="Calibri"/>
                              <w:noProof/>
                              <w:color w:val="0000FF"/>
                              <w:sz w:val="20"/>
                              <w:szCs w:val="20"/>
                            </w:rPr>
                          </w:pPr>
                          <w:r w:rsidRPr="00EA1D22">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A9B02F" id="_x0000_t202" coordsize="21600,21600" o:spt="202" path="m,l,21600r21600,l21600,xe">
              <v:stroke joinstyle="miter"/>
              <v:path gradientshapeok="t" o:connecttype="rect"/>
            </v:shapetype>
            <v:shape id="Text Box 2" o:spid="_x0000_s1026" type="#_x0000_t202" alt="OFFICIAL US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B4E78AD" w14:textId="5C783BEB" w:rsidR="00EA1D22" w:rsidRPr="00EA1D22" w:rsidRDefault="00EA1D22" w:rsidP="00EA1D22">
                    <w:pPr>
                      <w:spacing w:after="0"/>
                      <w:rPr>
                        <w:rFonts w:ascii="Calibri" w:eastAsia="Calibri" w:hAnsi="Calibri" w:cs="Calibri"/>
                        <w:noProof/>
                        <w:color w:val="0000FF"/>
                        <w:sz w:val="20"/>
                        <w:szCs w:val="20"/>
                      </w:rPr>
                    </w:pPr>
                    <w:r w:rsidRPr="00EA1D22">
                      <w:rPr>
                        <w:rFonts w:ascii="Calibri" w:eastAsia="Calibri" w:hAnsi="Calibri" w:cs="Calibri"/>
                        <w:noProof/>
                        <w:color w:val="0000FF"/>
                        <w:sz w:val="20"/>
                        <w:szCs w:val="20"/>
                      </w:rPr>
                      <w:t>OFFICIAL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D32A" w14:textId="3BBE9F1F" w:rsidR="00D00847" w:rsidRPr="00D00847" w:rsidRDefault="00EA1D22" w:rsidP="00D00847">
    <w:pPr>
      <w:pStyle w:val="a3"/>
      <w:jc w:val="center"/>
      <w:rPr>
        <w:rFonts w:ascii="Times New Roman" w:hAnsi="Times New Roman" w:cs="Times New Roman"/>
        <w:b/>
        <w:color w:val="000000"/>
      </w:rPr>
    </w:pPr>
    <w:r>
      <w:rPr>
        <w:rFonts w:ascii="Times New Roman" w:hAnsi="Times New Roman" w:cs="Times New Roman"/>
        <w:b/>
        <w:noProof/>
        <w:color w:val="000000"/>
        <w:lang w:val="ru-RU" w:eastAsia="ru-RU"/>
      </w:rPr>
      <mc:AlternateContent>
        <mc:Choice Requires="wps">
          <w:drawing>
            <wp:anchor distT="0" distB="0" distL="0" distR="0" simplePos="0" relativeHeight="251658241" behindDoc="0" locked="0" layoutInCell="1" allowOverlap="1" wp14:anchorId="1AEB4B65" wp14:editId="5195752B">
              <wp:simplePos x="635" y="635"/>
              <wp:positionH relativeFrom="page">
                <wp:align>center</wp:align>
              </wp:positionH>
              <wp:positionV relativeFrom="page">
                <wp:align>top</wp:align>
              </wp:positionV>
              <wp:extent cx="443865" cy="443865"/>
              <wp:effectExtent l="0" t="0" r="14605" b="4445"/>
              <wp:wrapNone/>
              <wp:docPr id="1936418718" name="Text Box 3"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CEAF40" w14:textId="102970FF" w:rsidR="00EA1D22" w:rsidRPr="00EA1D22" w:rsidRDefault="00EA1D22" w:rsidP="00EA1D22">
                          <w:pPr>
                            <w:spacing w:after="0"/>
                            <w:rPr>
                              <w:rFonts w:ascii="Calibri" w:eastAsia="Calibri" w:hAnsi="Calibri" w:cs="Calibri"/>
                              <w:noProof/>
                              <w:color w:val="0000F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EB4B65" id="_x0000_t202" coordsize="21600,21600" o:spt="202" path="m,l,21600r21600,l21600,xe">
              <v:stroke joinstyle="miter"/>
              <v:path gradientshapeok="t" o:connecttype="rect"/>
            </v:shapetype>
            <v:shape id="Text Box 3" o:spid="_x0000_s1027" type="#_x0000_t202" alt="OFFICIAL USE"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4CEAF40" w14:textId="102970FF" w:rsidR="00EA1D22" w:rsidRPr="00EA1D22" w:rsidRDefault="00EA1D22" w:rsidP="00EA1D22">
                    <w:pPr>
                      <w:spacing w:after="0"/>
                      <w:rPr>
                        <w:rFonts w:ascii="Calibri" w:eastAsia="Calibri" w:hAnsi="Calibri" w:cs="Calibri"/>
                        <w:noProof/>
                        <w:color w:val="0000FF"/>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11321"/>
    <w:multiLevelType w:val="hybridMultilevel"/>
    <w:tmpl w:val="EA36D5EC"/>
    <w:lvl w:ilvl="0" w:tplc="08805E02">
      <w:start w:val="1"/>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 w15:restartNumberingAfterBreak="0">
    <w:nsid w:val="710D626C"/>
    <w:multiLevelType w:val="hybridMultilevel"/>
    <w:tmpl w:val="BD0E46C2"/>
    <w:lvl w:ilvl="0" w:tplc="76F2A9D4">
      <w:start w:val="1"/>
      <w:numFmt w:val="lowerRoman"/>
      <w:lvlText w:val="(%1)"/>
      <w:lvlJc w:val="left"/>
      <w:pPr>
        <w:ind w:left="5823" w:hanging="720"/>
      </w:pPr>
      <w:rPr>
        <w:rFonts w:hint="default"/>
      </w:rPr>
    </w:lvl>
    <w:lvl w:ilvl="1" w:tplc="08090019" w:tentative="1">
      <w:start w:val="1"/>
      <w:numFmt w:val="lowerLetter"/>
      <w:lvlText w:val="%2."/>
      <w:lvlJc w:val="left"/>
      <w:pPr>
        <w:ind w:left="6183" w:hanging="360"/>
      </w:pPr>
    </w:lvl>
    <w:lvl w:ilvl="2" w:tplc="0809001B" w:tentative="1">
      <w:start w:val="1"/>
      <w:numFmt w:val="lowerRoman"/>
      <w:lvlText w:val="%3."/>
      <w:lvlJc w:val="right"/>
      <w:pPr>
        <w:ind w:left="6903" w:hanging="180"/>
      </w:pPr>
    </w:lvl>
    <w:lvl w:ilvl="3" w:tplc="0809000F" w:tentative="1">
      <w:start w:val="1"/>
      <w:numFmt w:val="decimal"/>
      <w:lvlText w:val="%4."/>
      <w:lvlJc w:val="left"/>
      <w:pPr>
        <w:ind w:left="7623" w:hanging="360"/>
      </w:pPr>
    </w:lvl>
    <w:lvl w:ilvl="4" w:tplc="08090019" w:tentative="1">
      <w:start w:val="1"/>
      <w:numFmt w:val="lowerLetter"/>
      <w:lvlText w:val="%5."/>
      <w:lvlJc w:val="left"/>
      <w:pPr>
        <w:ind w:left="8343" w:hanging="360"/>
      </w:pPr>
    </w:lvl>
    <w:lvl w:ilvl="5" w:tplc="0809001B" w:tentative="1">
      <w:start w:val="1"/>
      <w:numFmt w:val="lowerRoman"/>
      <w:lvlText w:val="%6."/>
      <w:lvlJc w:val="right"/>
      <w:pPr>
        <w:ind w:left="9063" w:hanging="180"/>
      </w:pPr>
    </w:lvl>
    <w:lvl w:ilvl="6" w:tplc="0809000F" w:tentative="1">
      <w:start w:val="1"/>
      <w:numFmt w:val="decimal"/>
      <w:lvlText w:val="%7."/>
      <w:lvlJc w:val="left"/>
      <w:pPr>
        <w:ind w:left="9783" w:hanging="360"/>
      </w:pPr>
    </w:lvl>
    <w:lvl w:ilvl="7" w:tplc="08090019" w:tentative="1">
      <w:start w:val="1"/>
      <w:numFmt w:val="lowerLetter"/>
      <w:lvlText w:val="%8."/>
      <w:lvlJc w:val="left"/>
      <w:pPr>
        <w:ind w:left="10503" w:hanging="360"/>
      </w:pPr>
    </w:lvl>
    <w:lvl w:ilvl="8" w:tplc="0809001B" w:tentative="1">
      <w:start w:val="1"/>
      <w:numFmt w:val="lowerRoman"/>
      <w:lvlText w:val="%9."/>
      <w:lvlJc w:val="right"/>
      <w:pPr>
        <w:ind w:left="11223" w:hanging="180"/>
      </w:pPr>
    </w:lvl>
  </w:abstractNum>
  <w:num w:numId="1" w16cid:durableId="68427121">
    <w:abstractNumId w:val="0"/>
  </w:num>
  <w:num w:numId="2" w16cid:durableId="215046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847"/>
    <w:rsid w:val="00000A40"/>
    <w:rsid w:val="00012DDE"/>
    <w:rsid w:val="000555A3"/>
    <w:rsid w:val="00065979"/>
    <w:rsid w:val="00070F51"/>
    <w:rsid w:val="00071050"/>
    <w:rsid w:val="0007193F"/>
    <w:rsid w:val="00083C9E"/>
    <w:rsid w:val="00093DEE"/>
    <w:rsid w:val="000B71C7"/>
    <w:rsid w:val="000B78D7"/>
    <w:rsid w:val="000C1FF3"/>
    <w:rsid w:val="000C38AE"/>
    <w:rsid w:val="000D11A0"/>
    <w:rsid w:val="000E5579"/>
    <w:rsid w:val="000F7BBA"/>
    <w:rsid w:val="000F7C40"/>
    <w:rsid w:val="00101D77"/>
    <w:rsid w:val="00107B82"/>
    <w:rsid w:val="0011304A"/>
    <w:rsid w:val="001361BE"/>
    <w:rsid w:val="0014688B"/>
    <w:rsid w:val="00146ADA"/>
    <w:rsid w:val="00152005"/>
    <w:rsid w:val="001717DA"/>
    <w:rsid w:val="001B113B"/>
    <w:rsid w:val="001B4861"/>
    <w:rsid w:val="001D6845"/>
    <w:rsid w:val="001F13EB"/>
    <w:rsid w:val="001F2BF4"/>
    <w:rsid w:val="001F2F43"/>
    <w:rsid w:val="0020282E"/>
    <w:rsid w:val="00221E57"/>
    <w:rsid w:val="00236191"/>
    <w:rsid w:val="002510B3"/>
    <w:rsid w:val="00255B69"/>
    <w:rsid w:val="00282A9B"/>
    <w:rsid w:val="00294EBB"/>
    <w:rsid w:val="002963A3"/>
    <w:rsid w:val="002A23F2"/>
    <w:rsid w:val="002B21CE"/>
    <w:rsid w:val="002B65F8"/>
    <w:rsid w:val="002C1C14"/>
    <w:rsid w:val="002C2ACD"/>
    <w:rsid w:val="002E3E2A"/>
    <w:rsid w:val="0033111A"/>
    <w:rsid w:val="00344979"/>
    <w:rsid w:val="00347827"/>
    <w:rsid w:val="0035765D"/>
    <w:rsid w:val="00367C74"/>
    <w:rsid w:val="00385AAB"/>
    <w:rsid w:val="003973FC"/>
    <w:rsid w:val="003B1028"/>
    <w:rsid w:val="003F5DE5"/>
    <w:rsid w:val="00403955"/>
    <w:rsid w:val="00417EA1"/>
    <w:rsid w:val="004222E8"/>
    <w:rsid w:val="004376D7"/>
    <w:rsid w:val="00437E11"/>
    <w:rsid w:val="00442C1A"/>
    <w:rsid w:val="00462D08"/>
    <w:rsid w:val="00472FE3"/>
    <w:rsid w:val="0047678F"/>
    <w:rsid w:val="004938AF"/>
    <w:rsid w:val="00494CE0"/>
    <w:rsid w:val="004C0A9A"/>
    <w:rsid w:val="004C1713"/>
    <w:rsid w:val="004C565B"/>
    <w:rsid w:val="00503252"/>
    <w:rsid w:val="00522577"/>
    <w:rsid w:val="00523174"/>
    <w:rsid w:val="00534CD5"/>
    <w:rsid w:val="0054370D"/>
    <w:rsid w:val="00556144"/>
    <w:rsid w:val="00556394"/>
    <w:rsid w:val="00567EB9"/>
    <w:rsid w:val="005756EA"/>
    <w:rsid w:val="005822CE"/>
    <w:rsid w:val="00582CBF"/>
    <w:rsid w:val="00591138"/>
    <w:rsid w:val="005A0990"/>
    <w:rsid w:val="005A496B"/>
    <w:rsid w:val="005A74CF"/>
    <w:rsid w:val="005B252A"/>
    <w:rsid w:val="005C4508"/>
    <w:rsid w:val="005C5279"/>
    <w:rsid w:val="005C6715"/>
    <w:rsid w:val="005C7961"/>
    <w:rsid w:val="005D7D19"/>
    <w:rsid w:val="005E2BF0"/>
    <w:rsid w:val="00612BE4"/>
    <w:rsid w:val="00614706"/>
    <w:rsid w:val="00652DC6"/>
    <w:rsid w:val="00655495"/>
    <w:rsid w:val="006747F5"/>
    <w:rsid w:val="00681A7E"/>
    <w:rsid w:val="00690513"/>
    <w:rsid w:val="006B3907"/>
    <w:rsid w:val="00714C74"/>
    <w:rsid w:val="00725FDD"/>
    <w:rsid w:val="007321D7"/>
    <w:rsid w:val="00732543"/>
    <w:rsid w:val="007524FA"/>
    <w:rsid w:val="00762B0F"/>
    <w:rsid w:val="00765B9D"/>
    <w:rsid w:val="00781FC0"/>
    <w:rsid w:val="00796766"/>
    <w:rsid w:val="007B287D"/>
    <w:rsid w:val="007C3871"/>
    <w:rsid w:val="007D2617"/>
    <w:rsid w:val="007E2CBE"/>
    <w:rsid w:val="007E43AD"/>
    <w:rsid w:val="008132C0"/>
    <w:rsid w:val="008148E3"/>
    <w:rsid w:val="00826B9C"/>
    <w:rsid w:val="00862669"/>
    <w:rsid w:val="0086730B"/>
    <w:rsid w:val="00871CAC"/>
    <w:rsid w:val="00886DEF"/>
    <w:rsid w:val="008B6AE8"/>
    <w:rsid w:val="008D0DD1"/>
    <w:rsid w:val="008D652B"/>
    <w:rsid w:val="00902E15"/>
    <w:rsid w:val="00911983"/>
    <w:rsid w:val="00926C2D"/>
    <w:rsid w:val="0094432D"/>
    <w:rsid w:val="00976BEC"/>
    <w:rsid w:val="009813B8"/>
    <w:rsid w:val="009C5AF6"/>
    <w:rsid w:val="009C6229"/>
    <w:rsid w:val="009D0975"/>
    <w:rsid w:val="009E022A"/>
    <w:rsid w:val="009E4ED0"/>
    <w:rsid w:val="00A1537C"/>
    <w:rsid w:val="00A17831"/>
    <w:rsid w:val="00A30C00"/>
    <w:rsid w:val="00A4006F"/>
    <w:rsid w:val="00A62103"/>
    <w:rsid w:val="00A63AA3"/>
    <w:rsid w:val="00A66995"/>
    <w:rsid w:val="00AD23CB"/>
    <w:rsid w:val="00AE1DA1"/>
    <w:rsid w:val="00AE4EBA"/>
    <w:rsid w:val="00AF0A03"/>
    <w:rsid w:val="00B07DB5"/>
    <w:rsid w:val="00B1119C"/>
    <w:rsid w:val="00B17928"/>
    <w:rsid w:val="00B80550"/>
    <w:rsid w:val="00B931A1"/>
    <w:rsid w:val="00B94119"/>
    <w:rsid w:val="00BA54C5"/>
    <w:rsid w:val="00BC108E"/>
    <w:rsid w:val="00C25586"/>
    <w:rsid w:val="00C32300"/>
    <w:rsid w:val="00C41131"/>
    <w:rsid w:val="00C45130"/>
    <w:rsid w:val="00C5699B"/>
    <w:rsid w:val="00C60B8E"/>
    <w:rsid w:val="00C64F8A"/>
    <w:rsid w:val="00C825A8"/>
    <w:rsid w:val="00C83F86"/>
    <w:rsid w:val="00CC1D38"/>
    <w:rsid w:val="00CC4292"/>
    <w:rsid w:val="00D00847"/>
    <w:rsid w:val="00D02301"/>
    <w:rsid w:val="00D0289A"/>
    <w:rsid w:val="00D03038"/>
    <w:rsid w:val="00D046D7"/>
    <w:rsid w:val="00D076D1"/>
    <w:rsid w:val="00D25379"/>
    <w:rsid w:val="00D267D1"/>
    <w:rsid w:val="00D3198F"/>
    <w:rsid w:val="00D33711"/>
    <w:rsid w:val="00D4066E"/>
    <w:rsid w:val="00D42EAD"/>
    <w:rsid w:val="00D443DE"/>
    <w:rsid w:val="00D55E36"/>
    <w:rsid w:val="00D70C91"/>
    <w:rsid w:val="00D7564D"/>
    <w:rsid w:val="00DB40C2"/>
    <w:rsid w:val="00DF2548"/>
    <w:rsid w:val="00DF7E92"/>
    <w:rsid w:val="00E019B5"/>
    <w:rsid w:val="00E02521"/>
    <w:rsid w:val="00E02C33"/>
    <w:rsid w:val="00E04DA1"/>
    <w:rsid w:val="00E138EF"/>
    <w:rsid w:val="00E20502"/>
    <w:rsid w:val="00E21C6C"/>
    <w:rsid w:val="00E24C78"/>
    <w:rsid w:val="00E60070"/>
    <w:rsid w:val="00E61BF1"/>
    <w:rsid w:val="00E7306F"/>
    <w:rsid w:val="00E8110F"/>
    <w:rsid w:val="00E9145A"/>
    <w:rsid w:val="00EA1D22"/>
    <w:rsid w:val="00EA7DEC"/>
    <w:rsid w:val="00EB2218"/>
    <w:rsid w:val="00EC40DF"/>
    <w:rsid w:val="00EC4C4B"/>
    <w:rsid w:val="00EC7F50"/>
    <w:rsid w:val="00ED0E91"/>
    <w:rsid w:val="00ED1741"/>
    <w:rsid w:val="00EF7DEC"/>
    <w:rsid w:val="00F01375"/>
    <w:rsid w:val="00F07903"/>
    <w:rsid w:val="00F32E86"/>
    <w:rsid w:val="00F4554A"/>
    <w:rsid w:val="00F4764B"/>
    <w:rsid w:val="00F51267"/>
    <w:rsid w:val="00F54EEC"/>
    <w:rsid w:val="00F62A1C"/>
    <w:rsid w:val="00F778EB"/>
    <w:rsid w:val="00FA581E"/>
    <w:rsid w:val="00FB023F"/>
    <w:rsid w:val="00FB2036"/>
    <w:rsid w:val="00FB2B93"/>
    <w:rsid w:val="00FB4D8B"/>
    <w:rsid w:val="00FB753D"/>
    <w:rsid w:val="00FC0197"/>
    <w:rsid w:val="00FD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6848A"/>
  <w15:chartTrackingRefBased/>
  <w15:docId w15:val="{9B50A975-FF6F-4BBB-8D3B-A412FE46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71C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847"/>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D00847"/>
  </w:style>
  <w:style w:type="paragraph" w:styleId="a5">
    <w:name w:val="footer"/>
    <w:basedOn w:val="a"/>
    <w:link w:val="a6"/>
    <w:uiPriority w:val="99"/>
    <w:unhideWhenUsed/>
    <w:rsid w:val="00D00847"/>
    <w:pPr>
      <w:tabs>
        <w:tab w:val="center" w:pos="4513"/>
        <w:tab w:val="right" w:pos="9026"/>
      </w:tabs>
      <w:spacing w:after="0" w:line="240" w:lineRule="auto"/>
    </w:pPr>
  </w:style>
  <w:style w:type="character" w:customStyle="1" w:styleId="a6">
    <w:name w:val="Нижний колонтитул Знак"/>
    <w:basedOn w:val="a0"/>
    <w:link w:val="a5"/>
    <w:uiPriority w:val="99"/>
    <w:rsid w:val="00D00847"/>
  </w:style>
  <w:style w:type="paragraph" w:customStyle="1" w:styleId="11">
    <w:name w:val="1"/>
    <w:basedOn w:val="a"/>
    <w:rsid w:val="00D00847"/>
    <w:pPr>
      <w:spacing w:after="0" w:line="240" w:lineRule="auto"/>
      <w:ind w:left="720"/>
    </w:pPr>
    <w:rPr>
      <w:rFonts w:ascii="Times New Roman" w:eastAsia="Times New Roman" w:hAnsi="Times New Roman" w:cs="Times New Roman"/>
      <w:szCs w:val="20"/>
      <w:lang w:val="en-US" w:eastAsia="en-AU"/>
    </w:rPr>
  </w:style>
  <w:style w:type="paragraph" w:styleId="a7">
    <w:name w:val="Body Text Indent"/>
    <w:basedOn w:val="a"/>
    <w:link w:val="a8"/>
    <w:rsid w:val="00D00847"/>
    <w:pPr>
      <w:spacing w:after="0" w:line="240" w:lineRule="auto"/>
      <w:ind w:left="4320" w:hanging="3600"/>
    </w:pPr>
    <w:rPr>
      <w:rFonts w:ascii="Times New Roman" w:eastAsia="Times New Roman" w:hAnsi="Times New Roman" w:cs="Times New Roman"/>
      <w:szCs w:val="20"/>
      <w:lang w:val="en-US" w:eastAsia="en-AU"/>
    </w:rPr>
  </w:style>
  <w:style w:type="character" w:customStyle="1" w:styleId="a8">
    <w:name w:val="Основной текст с отступом Знак"/>
    <w:basedOn w:val="a0"/>
    <w:link w:val="a7"/>
    <w:rsid w:val="00D00847"/>
    <w:rPr>
      <w:rFonts w:ascii="Times New Roman" w:eastAsia="Times New Roman" w:hAnsi="Times New Roman" w:cs="Times New Roman"/>
      <w:szCs w:val="20"/>
      <w:lang w:val="en-US" w:eastAsia="en-AU"/>
    </w:rPr>
  </w:style>
  <w:style w:type="character" w:styleId="a9">
    <w:name w:val="annotation reference"/>
    <w:uiPriority w:val="99"/>
    <w:semiHidden/>
    <w:unhideWhenUsed/>
    <w:rsid w:val="00D00847"/>
    <w:rPr>
      <w:sz w:val="16"/>
      <w:szCs w:val="16"/>
    </w:rPr>
  </w:style>
  <w:style w:type="paragraph" w:customStyle="1" w:styleId="wbodyDBArial11">
    <w:name w:val="wbody_DB_Arial11"/>
    <w:rsid w:val="00D00847"/>
    <w:pPr>
      <w:widowControl w:val="0"/>
      <w:suppressAutoHyphens/>
      <w:spacing w:after="0" w:line="240" w:lineRule="auto"/>
    </w:pPr>
    <w:rPr>
      <w:rFonts w:ascii="Arial" w:eastAsia="Arial" w:hAnsi="Arial" w:cs="Times New Roman"/>
      <w:kern w:val="1"/>
      <w:szCs w:val="24"/>
    </w:rPr>
  </w:style>
  <w:style w:type="paragraph" w:customStyle="1" w:styleId="Default">
    <w:name w:val="Default"/>
    <w:rsid w:val="00D0084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aa">
    <w:name w:val="List Paragraph"/>
    <w:basedOn w:val="a"/>
    <w:uiPriority w:val="34"/>
    <w:qFormat/>
    <w:rsid w:val="00D00847"/>
    <w:pPr>
      <w:ind w:left="720"/>
      <w:contextualSpacing/>
    </w:pPr>
  </w:style>
  <w:style w:type="character" w:styleId="ab">
    <w:name w:val="Hyperlink"/>
    <w:basedOn w:val="a0"/>
    <w:uiPriority w:val="99"/>
    <w:unhideWhenUsed/>
    <w:rsid w:val="000C1FF3"/>
    <w:rPr>
      <w:color w:val="0563C1" w:themeColor="hyperlink"/>
      <w:u w:val="single"/>
    </w:rPr>
  </w:style>
  <w:style w:type="paragraph" w:styleId="ac">
    <w:name w:val="annotation text"/>
    <w:basedOn w:val="a"/>
    <w:link w:val="ad"/>
    <w:uiPriority w:val="99"/>
    <w:unhideWhenUsed/>
    <w:rsid w:val="00D4066E"/>
    <w:pPr>
      <w:spacing w:line="240" w:lineRule="auto"/>
    </w:pPr>
    <w:rPr>
      <w:sz w:val="20"/>
      <w:szCs w:val="20"/>
    </w:rPr>
  </w:style>
  <w:style w:type="character" w:customStyle="1" w:styleId="ad">
    <w:name w:val="Текст примечания Знак"/>
    <w:basedOn w:val="a0"/>
    <w:link w:val="ac"/>
    <w:uiPriority w:val="99"/>
    <w:rsid w:val="00D4066E"/>
    <w:rPr>
      <w:sz w:val="20"/>
      <w:szCs w:val="20"/>
    </w:rPr>
  </w:style>
  <w:style w:type="paragraph" w:styleId="ae">
    <w:name w:val="annotation subject"/>
    <w:basedOn w:val="ac"/>
    <w:next w:val="ac"/>
    <w:link w:val="af"/>
    <w:uiPriority w:val="99"/>
    <w:semiHidden/>
    <w:unhideWhenUsed/>
    <w:rsid w:val="00D4066E"/>
    <w:rPr>
      <w:b/>
      <w:bCs/>
    </w:rPr>
  </w:style>
  <w:style w:type="character" w:customStyle="1" w:styleId="af">
    <w:name w:val="Тема примечания Знак"/>
    <w:basedOn w:val="ad"/>
    <w:link w:val="ae"/>
    <w:uiPriority w:val="99"/>
    <w:semiHidden/>
    <w:rsid w:val="00D4066E"/>
    <w:rPr>
      <w:b/>
      <w:bCs/>
      <w:sz w:val="20"/>
      <w:szCs w:val="20"/>
    </w:rPr>
  </w:style>
  <w:style w:type="paragraph" w:styleId="af0">
    <w:name w:val="Revision"/>
    <w:hidden/>
    <w:uiPriority w:val="99"/>
    <w:semiHidden/>
    <w:rsid w:val="00D4066E"/>
    <w:pPr>
      <w:spacing w:after="0" w:line="240" w:lineRule="auto"/>
    </w:pPr>
  </w:style>
  <w:style w:type="paragraph" w:styleId="af1">
    <w:name w:val="Balloon Text"/>
    <w:basedOn w:val="a"/>
    <w:link w:val="af2"/>
    <w:uiPriority w:val="99"/>
    <w:semiHidden/>
    <w:unhideWhenUsed/>
    <w:rsid w:val="00255B69"/>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55B69"/>
    <w:rPr>
      <w:rFonts w:ascii="Segoe UI" w:hAnsi="Segoe UI" w:cs="Segoe UI"/>
      <w:sz w:val="18"/>
      <w:szCs w:val="18"/>
    </w:rPr>
  </w:style>
  <w:style w:type="character" w:customStyle="1" w:styleId="10">
    <w:name w:val="Заголовок 1 Знак"/>
    <w:basedOn w:val="a0"/>
    <w:link w:val="1"/>
    <w:uiPriority w:val="9"/>
    <w:rsid w:val="00871CAC"/>
    <w:rPr>
      <w:rFonts w:asciiTheme="majorHAnsi" w:eastAsiaTheme="majorEastAsia" w:hAnsiTheme="majorHAnsi" w:cstheme="majorBidi"/>
      <w:color w:val="2E74B5" w:themeColor="accent1" w:themeShade="BF"/>
      <w:sz w:val="32"/>
      <w:szCs w:val="32"/>
    </w:rPr>
  </w:style>
  <w:style w:type="character" w:styleId="af3">
    <w:name w:val="Strong"/>
    <w:basedOn w:val="a0"/>
    <w:uiPriority w:val="22"/>
    <w:qFormat/>
    <w:rsid w:val="00B94119"/>
    <w:rPr>
      <w:b/>
      <w:bCs/>
    </w:rPr>
  </w:style>
  <w:style w:type="paragraph" w:styleId="af4">
    <w:name w:val="footnote text"/>
    <w:basedOn w:val="a"/>
    <w:link w:val="af5"/>
    <w:uiPriority w:val="99"/>
    <w:semiHidden/>
    <w:unhideWhenUsed/>
    <w:rsid w:val="00012DDE"/>
    <w:pPr>
      <w:spacing w:after="0" w:line="240" w:lineRule="auto"/>
    </w:pPr>
    <w:rPr>
      <w:sz w:val="20"/>
      <w:szCs w:val="20"/>
    </w:rPr>
  </w:style>
  <w:style w:type="character" w:customStyle="1" w:styleId="af5">
    <w:name w:val="Текст сноски Знак"/>
    <w:basedOn w:val="a0"/>
    <w:link w:val="af4"/>
    <w:uiPriority w:val="99"/>
    <w:semiHidden/>
    <w:rsid w:val="00012DDE"/>
    <w:rPr>
      <w:sz w:val="20"/>
      <w:szCs w:val="20"/>
    </w:rPr>
  </w:style>
  <w:style w:type="character" w:styleId="af6">
    <w:name w:val="footnote reference"/>
    <w:basedOn w:val="a0"/>
    <w:uiPriority w:val="99"/>
    <w:semiHidden/>
    <w:unhideWhenUsed/>
    <w:rsid w:val="00012DDE"/>
    <w:rPr>
      <w:vertAlign w:val="superscript"/>
    </w:rPr>
  </w:style>
  <w:style w:type="table" w:styleId="af7">
    <w:name w:val="Table Grid"/>
    <w:basedOn w:val="a1"/>
    <w:uiPriority w:val="39"/>
    <w:rsid w:val="00F77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E7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9591">
      <w:bodyDiv w:val="1"/>
      <w:marLeft w:val="0"/>
      <w:marRight w:val="0"/>
      <w:marTop w:val="0"/>
      <w:marBottom w:val="0"/>
      <w:divBdr>
        <w:top w:val="none" w:sz="0" w:space="0" w:color="auto"/>
        <w:left w:val="none" w:sz="0" w:space="0" w:color="auto"/>
        <w:bottom w:val="none" w:sz="0" w:space="0" w:color="auto"/>
        <w:right w:val="none" w:sz="0" w:space="0" w:color="auto"/>
      </w:divBdr>
    </w:div>
    <w:div w:id="182936350">
      <w:bodyDiv w:val="1"/>
      <w:marLeft w:val="0"/>
      <w:marRight w:val="0"/>
      <w:marTop w:val="0"/>
      <w:marBottom w:val="0"/>
      <w:divBdr>
        <w:top w:val="none" w:sz="0" w:space="0" w:color="auto"/>
        <w:left w:val="none" w:sz="0" w:space="0" w:color="auto"/>
        <w:bottom w:val="none" w:sz="0" w:space="0" w:color="auto"/>
        <w:right w:val="none" w:sz="0" w:space="0" w:color="auto"/>
      </w:divBdr>
    </w:div>
    <w:div w:id="1044139594">
      <w:bodyDiv w:val="1"/>
      <w:marLeft w:val="0"/>
      <w:marRight w:val="0"/>
      <w:marTop w:val="0"/>
      <w:marBottom w:val="0"/>
      <w:divBdr>
        <w:top w:val="none" w:sz="0" w:space="0" w:color="auto"/>
        <w:left w:val="none" w:sz="0" w:space="0" w:color="auto"/>
        <w:bottom w:val="none" w:sz="0" w:space="0" w:color="auto"/>
        <w:right w:val="none" w:sz="0" w:space="0" w:color="auto"/>
      </w:divBdr>
    </w:div>
    <w:div w:id="1184367440">
      <w:bodyDiv w:val="1"/>
      <w:marLeft w:val="0"/>
      <w:marRight w:val="0"/>
      <w:marTop w:val="0"/>
      <w:marBottom w:val="0"/>
      <w:divBdr>
        <w:top w:val="none" w:sz="0" w:space="0" w:color="auto"/>
        <w:left w:val="none" w:sz="0" w:space="0" w:color="auto"/>
        <w:bottom w:val="none" w:sz="0" w:space="0" w:color="auto"/>
        <w:right w:val="none" w:sz="0" w:space="0" w:color="auto"/>
      </w:divBdr>
    </w:div>
    <w:div w:id="1327317467">
      <w:bodyDiv w:val="1"/>
      <w:marLeft w:val="0"/>
      <w:marRight w:val="0"/>
      <w:marTop w:val="0"/>
      <w:marBottom w:val="0"/>
      <w:divBdr>
        <w:top w:val="none" w:sz="0" w:space="0" w:color="auto"/>
        <w:left w:val="none" w:sz="0" w:space="0" w:color="auto"/>
        <w:bottom w:val="none" w:sz="0" w:space="0" w:color="auto"/>
        <w:right w:val="none" w:sz="0" w:space="0" w:color="auto"/>
      </w:divBdr>
    </w:div>
    <w:div w:id="1383211213">
      <w:bodyDiv w:val="1"/>
      <w:marLeft w:val="0"/>
      <w:marRight w:val="0"/>
      <w:marTop w:val="0"/>
      <w:marBottom w:val="0"/>
      <w:divBdr>
        <w:top w:val="none" w:sz="0" w:space="0" w:color="auto"/>
        <w:left w:val="none" w:sz="0" w:space="0" w:color="auto"/>
        <w:bottom w:val="none" w:sz="0" w:space="0" w:color="auto"/>
        <w:right w:val="none" w:sz="0" w:space="0" w:color="auto"/>
      </w:divBdr>
    </w:div>
    <w:div w:id="1405177103">
      <w:bodyDiv w:val="1"/>
      <w:marLeft w:val="0"/>
      <w:marRight w:val="0"/>
      <w:marTop w:val="0"/>
      <w:marBottom w:val="0"/>
      <w:divBdr>
        <w:top w:val="none" w:sz="0" w:space="0" w:color="auto"/>
        <w:left w:val="none" w:sz="0" w:space="0" w:color="auto"/>
        <w:bottom w:val="none" w:sz="0" w:space="0" w:color="auto"/>
        <w:right w:val="none" w:sz="0" w:space="0" w:color="auto"/>
      </w:divBdr>
    </w:div>
    <w:div w:id="1414738927">
      <w:bodyDiv w:val="1"/>
      <w:marLeft w:val="0"/>
      <w:marRight w:val="0"/>
      <w:marTop w:val="0"/>
      <w:marBottom w:val="0"/>
      <w:divBdr>
        <w:top w:val="none" w:sz="0" w:space="0" w:color="auto"/>
        <w:left w:val="none" w:sz="0" w:space="0" w:color="auto"/>
        <w:bottom w:val="none" w:sz="0" w:space="0" w:color="auto"/>
        <w:right w:val="none" w:sz="0" w:space="0" w:color="auto"/>
      </w:divBdr>
    </w:div>
    <w:div w:id="1609894958">
      <w:bodyDiv w:val="1"/>
      <w:marLeft w:val="0"/>
      <w:marRight w:val="0"/>
      <w:marTop w:val="0"/>
      <w:marBottom w:val="0"/>
      <w:divBdr>
        <w:top w:val="none" w:sz="0" w:space="0" w:color="auto"/>
        <w:left w:val="none" w:sz="0" w:space="0" w:color="auto"/>
        <w:bottom w:val="none" w:sz="0" w:space="0" w:color="auto"/>
        <w:right w:val="none" w:sz="0" w:space="0" w:color="auto"/>
      </w:divBdr>
    </w:div>
    <w:div w:id="179490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ase.kz/en/money_market/repo-indicators/tonia_compounded/"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8842B2D640EB4CB8FB4AB131FAF335" ma:contentTypeVersion="12" ma:contentTypeDescription="Create a new document." ma:contentTypeScope="" ma:versionID="2a0b8d0bc92b0ae0d52027ba3aa2fdd2">
  <xsd:schema xmlns:xsd="http://www.w3.org/2001/XMLSchema" xmlns:xs="http://www.w3.org/2001/XMLSchema" xmlns:p="http://schemas.microsoft.com/office/2006/metadata/properties" xmlns:ns3="9ba8e745-e0e1-4c77-87b4-46c19cc88195" xmlns:ns4="be5a8302-22df-4539-8964-7cb393237ad4" targetNamespace="http://schemas.microsoft.com/office/2006/metadata/properties" ma:root="true" ma:fieldsID="6b73458d44ee45da70607439b2c02e8d" ns3:_="" ns4:_="">
    <xsd:import namespace="9ba8e745-e0e1-4c77-87b4-46c19cc88195"/>
    <xsd:import namespace="be5a8302-22df-4539-8964-7cb393237ad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e745-e0e1-4c77-87b4-46c19cc88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5a8302-22df-4539-8964-7cb393237a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ba8e745-e0e1-4c77-87b4-46c19cc881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i="http://www.w3.org/2001/XMLSchema-instance" xmlns:xsd="http://www.w3.org/2001/XMLSchema" xmlns="http://www.boldonjames.com/2008/01/sie/internal/label" sislVersion="0" policy="1d45786f-a737-4735-8af6-df12fb6939a2" origin="userSelected">
  <element uid="9c87da95-7b2f-439f-bfd9-321fc51f6870" value=""/>
  <element uid="214105f6-acd4-485a-afa0-a0b988f7534c" value=""/>
</sisl>
</file>

<file path=customXml/itemProps1.xml><?xml version="1.0" encoding="utf-8"?>
<ds:datastoreItem xmlns:ds="http://schemas.openxmlformats.org/officeDocument/2006/customXml" ds:itemID="{76525E93-41C1-43B3-B467-CB5E4E65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e745-e0e1-4c77-87b4-46c19cc88195"/>
    <ds:schemaRef ds:uri="be5a8302-22df-4539-8964-7cb393237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5AECD-4497-47C7-AD11-F40E9CBC8348}">
  <ds:schemaRefs>
    <ds:schemaRef ds:uri="http://schemas.microsoft.com/sharepoint/v3/contenttype/forms"/>
  </ds:schemaRefs>
</ds:datastoreItem>
</file>

<file path=customXml/itemProps3.xml><?xml version="1.0" encoding="utf-8"?>
<ds:datastoreItem xmlns:ds="http://schemas.openxmlformats.org/officeDocument/2006/customXml" ds:itemID="{B5F3DF1B-3CA9-4E24-928A-2CBD52B93633}">
  <ds:schemaRefs>
    <ds:schemaRef ds:uri="http://schemas.microsoft.com/office/2006/metadata/properties"/>
    <ds:schemaRef ds:uri="http://schemas.microsoft.com/office/infopath/2007/PartnerControls"/>
    <ds:schemaRef ds:uri="9ba8e745-e0e1-4c77-87b4-46c19cc88195"/>
  </ds:schemaRefs>
</ds:datastoreItem>
</file>

<file path=customXml/itemProps4.xml><?xml version="1.0" encoding="utf-8"?>
<ds:datastoreItem xmlns:ds="http://schemas.openxmlformats.org/officeDocument/2006/customXml" ds:itemID="{CD75C6D9-8733-4A0E-8F72-681489613F25}">
  <ds:schemaRefs>
    <ds:schemaRef ds:uri="http://schemas.openxmlformats.org/officeDocument/2006/bibliography"/>
  </ds:schemaRefs>
</ds:datastoreItem>
</file>

<file path=customXml/itemProps5.xml><?xml version="1.0" encoding="utf-8"?>
<ds:datastoreItem xmlns:ds="http://schemas.openxmlformats.org/officeDocument/2006/customXml" ds:itemID="{51AADBDD-3114-4B60-938F-422B324FA394}">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1cb350ab-c2fd-4b20-a9d9-41f8e7e93f2e}" enabled="1" method="Standard" siteId="{172f4752-6874-4876-bad5-e6d61f99117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2335</Words>
  <Characters>13312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Berispek, Ceren</dc:creator>
  <cp:keywords>[EBRD/NON-BANK USE]</cp:keywords>
  <dc:description/>
  <cp:lastModifiedBy>Илья Боровой</cp:lastModifiedBy>
  <cp:revision>2</cp:revision>
  <cp:lastPrinted>2025-01-13T13:17:00Z</cp:lastPrinted>
  <dcterms:created xsi:type="dcterms:W3CDTF">2025-07-29T04:24:00Z</dcterms:created>
  <dcterms:modified xsi:type="dcterms:W3CDTF">2025-07-29T04:24:00Z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abce9aa0-55d6-49a8-a214-9ccc7298f448</vt:lpwstr>
  </property>
  <property fmtid="{D5CDD505-2E9C-101B-9397-08002B2CF9AE}" pid="3" name="bjSaver">
    <vt:lpwstr>OOSh+ZKP5arzTQxRQaxElyDKviZxvsLW</vt:lpwstr>
  </property>
  <property fmtid="{D5CDD505-2E9C-101B-9397-08002B2CF9AE}" pid="4" name="bjDocumentSecurityLabel">
    <vt:lpwstr>NON-BANK USE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7" name="bjDocumentLabelXML-0">
    <vt:lpwstr>ames.com/2008/01/sie/internal/label"&gt;&lt;element uid="9c87da95-7b2f-439f-bfd9-321fc51f6870" value="" /&gt;&lt;element uid="214105f6-acd4-485a-afa0-a0b988f7534c" value="" /&gt;&lt;/sisl&gt;</vt:lpwstr>
  </property>
  <property fmtid="{D5CDD505-2E9C-101B-9397-08002B2CF9AE}" pid="8" name="ContentTypeId">
    <vt:lpwstr>0x0101008C8842B2D640EB4CB8FB4AB131FAF335</vt:lpwstr>
  </property>
  <property fmtid="{D5CDD505-2E9C-101B-9397-08002B2CF9AE}" pid="9" name="ClassificationContentMarkingHeaderShapeIds">
    <vt:lpwstr>4d3b8ca7,42dba8f1,1a59f4b6,736b679e</vt:lpwstr>
  </property>
  <property fmtid="{D5CDD505-2E9C-101B-9397-08002B2CF9AE}" pid="10" name="ClassificationContentMarkingHeaderFontProps">
    <vt:lpwstr>#0000ff,10,Calibri</vt:lpwstr>
  </property>
  <property fmtid="{D5CDD505-2E9C-101B-9397-08002B2CF9AE}" pid="11" name="ClassificationContentMarkingHeaderText">
    <vt:lpwstr>OFFICIAL USE</vt:lpwstr>
  </property>
  <property fmtid="{D5CDD505-2E9C-101B-9397-08002B2CF9AE}" pid="12" name="ClassificationContentMarkingFooterShapeIds">
    <vt:lpwstr>126ee883,4d3ace99,99c7098,5276a7b9</vt:lpwstr>
  </property>
  <property fmtid="{D5CDD505-2E9C-101B-9397-08002B2CF9AE}" pid="13" name="ClassificationContentMarkingFooterFontProps">
    <vt:lpwstr>#0000ff,10,Calibri</vt:lpwstr>
  </property>
  <property fmtid="{D5CDD505-2E9C-101B-9397-08002B2CF9AE}" pid="14" name="ClassificationContentMarkingFooterText">
    <vt:lpwstr>OFFICIAL USE</vt:lpwstr>
  </property>
</Properties>
</file>